
<file path=[Content_Types].xml><?xml version="1.0" encoding="utf-8"?>
<Types xmlns="http://schemas.openxmlformats.org/package/2006/content-types">
  <Default Extension="emf" ContentType="image/x-emf"/>
  <Default Extension="jpg" ContentType="image/jpeg"/>
  <Default Extension="wmf" ContentType="image/x-wmf"/>
  <Default Extension="png" ContentType="image/png"/>
  <Default Extension="xml" ContentType="application/xml"/>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header1.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Override PartName="/docProps/core.xml" ContentType="application/vnd.openxmlformats-package.core-properties+xml"/>
  <Override PartName="/word/webSettings.xml" ContentType="application/vnd.openxmlformats-officedocument.wordprocessingml.webSetting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lineRule="auto" w:line="240" w:after="0"/>
        <w:rPr>
          <w:rFonts w:ascii="Cambria" w:hAnsi="Cambria" w:cs="Times New Roman"/>
          <w:b/>
          <w:sz w:val="40"/>
          <w:szCs w:val="40"/>
        </w:rPr>
      </w:pPr>
      <w:r>
        <w:rPr>
          <w:rFonts w:ascii="Cambria" w:hAnsi="Cambria" w:cs="Times New Roman"/>
          <w:b/>
          <w:sz w:val="40"/>
          <w:szCs w:val="40"/>
        </w:rPr>
        <w:t xml:space="preserve">ДОБРО ПОЖАЛОВАТЬ В АЛТАЙСКИЙ КРАЙ!</w:t>
      </w:r>
      <w:r/>
    </w:p>
    <w:p>
      <w:pPr>
        <w:jc w:val="center"/>
        <w:spacing w:lineRule="auto" w:line="240" w:after="0"/>
        <w:rPr>
          <w:rFonts w:ascii="Cambria" w:hAnsi="Cambria" w:cs="Times New Roman"/>
          <w:b/>
          <w:sz w:val="40"/>
          <w:szCs w:val="40"/>
        </w:rPr>
      </w:pPr>
      <w:r>
        <w:rPr>
          <w:rFonts w:ascii="Cambria" w:hAnsi="Cambria" w:cs="Times New Roman"/>
          <w:b/>
          <w:sz w:val="40"/>
          <w:szCs w:val="40"/>
        </w:rPr>
      </w:r>
      <w:r/>
    </w:p>
    <w:p>
      <w:pPr>
        <w:jc w:val="center"/>
        <w:spacing w:lineRule="auto" w:line="240" w:after="0"/>
        <w:rPr>
          <w:rFonts w:ascii="Cambria" w:hAnsi="Cambria" w:cs="Times New Roman"/>
          <w:b/>
          <w:sz w:val="40"/>
          <w:szCs w:val="40"/>
        </w:rPr>
      </w:pPr>
      <w:r>
        <w:rPr>
          <w:rFonts w:ascii="Cambria" w:hAnsi="Cambria" w:cs="Times New Roman"/>
          <w:b/>
          <w:sz w:val="40"/>
          <w:szCs w:val="40"/>
        </w:rPr>
        <w:t xml:space="preserve">ПАМЯТКА ДЛЯ ИНОСТРАННОГО ГРАЖДАНИНА</w:t>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lang w:eastAsia="ru-RU"/>
        </w:rPr>
      </w:r>
      <w:r>
        <w:rPr>
          <w:rFonts w:ascii="Cambria" w:hAnsi="Cambria" w:cs="Times New Roman"/>
          <w:sz w:val="24"/>
          <w:lang w:eastAsia="ru-RU"/>
        </w:rPr>
        <mc:AlternateContent>
          <mc:Choice Requires="wpg">
            <w:drawing>
              <wp:inline xmlns:wp="http://schemas.openxmlformats.org/drawingml/2006/wordprocessingDrawing" distT="0" distB="0" distL="0" distR="0">
                <wp:extent cx="5400675" cy="3076575"/>
                <wp:effectExtent l="0" t="0" r="0" b="0"/>
                <wp:docPr id="1" name="" hidden="false"/>
                <wp:cNvGraphicFramePr/>
                <a:graphic xmlns:a="http://schemas.openxmlformats.org/drawingml/2006/main">
                  <a:graphicData uri="http://schemas.openxmlformats.org/drawingml/2006/picture">
                    <pic:pic xmlns:pic="http://schemas.openxmlformats.org/drawingml/2006/picture">
                      <pic:nvPicPr>
                        <pic:cNvPr id="4" name="" hidden="0"/>
                        <pic:cNvPicPr/>
                      </pic:nvPicPr>
                      <pic:blipFill>
                        <a:blip r:embed="rId9"/>
                        <a:stretch/>
                      </pic:blipFill>
                      <pic:spPr bwMode="auto">
                        <a:xfrm>
                          <a:off x="0" y="0"/>
                          <a:ext cx="5400675" cy="30765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25.2pt;height:242.2pt;">
                <v:path textboxrect="0,0,0,0"/>
                <v:imagedata r:id="rId9" o:title=""/>
              </v:shape>
            </w:pict>
          </mc:Fallback>
        </mc:AlternateContent>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b/>
          <w:sz w:val="40"/>
          <w:szCs w:val="40"/>
        </w:rPr>
      </w:pPr>
      <w:r>
        <w:rPr>
          <w:rFonts w:ascii="Cambria" w:hAnsi="Cambria" w:cs="Times New Roman"/>
          <w:b/>
          <w:sz w:val="40"/>
          <w:szCs w:val="40"/>
        </w:rPr>
        <w:t xml:space="preserve">АЛТАЙСКИЙ КРАЙ </w:t>
      </w:r>
      <w:r/>
    </w:p>
    <w:p>
      <w:pPr>
        <w:jc w:val="center"/>
        <w:spacing w:lineRule="auto" w:line="240" w:after="0"/>
        <w:rPr>
          <w:rFonts w:ascii="Cambria" w:hAnsi="Cambria" w:cs="Times New Roman"/>
          <w:b/>
          <w:sz w:val="40"/>
          <w:szCs w:val="40"/>
        </w:rPr>
      </w:pPr>
      <w:r>
        <w:rPr>
          <w:rFonts w:ascii="Cambria" w:hAnsi="Cambria" w:cs="Times New Roman"/>
          <w:b/>
          <w:sz w:val="40"/>
          <w:szCs w:val="40"/>
        </w:rPr>
        <w:t xml:space="preserve">2023</w:t>
      </w:r>
      <w:r>
        <w:rPr>
          <w:rFonts w:ascii="Cambria" w:hAnsi="Cambria" w:cs="Times New Roman"/>
          <w:b/>
          <w:sz w:val="40"/>
          <w:szCs w:val="40"/>
        </w:rPr>
        <w:br w:type="page"/>
      </w:r>
      <w:r/>
    </w:p>
    <w:p>
      <w:pPr>
        <w:jc w:val="center"/>
        <w:spacing w:lineRule="auto" w:line="240" w:after="0"/>
        <w:rPr>
          <w:rFonts w:ascii="Cambria" w:hAnsi="Cambria" w:cs="Times New Roman"/>
          <w:sz w:val="24"/>
        </w:rPr>
      </w:pPr>
      <w:r>
        <w:rPr>
          <w:rFonts w:ascii="Cambria" w:hAnsi="Cambria" w:cs="Times New Roman"/>
          <w:sz w:val="24"/>
        </w:rPr>
        <w:t xml:space="preserve">Подготовлено:</w:t>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t xml:space="preserve">Департаментом Администрации Губернатора и Правительства Алтайского края</w:t>
      </w:r>
      <w:r/>
    </w:p>
    <w:p>
      <w:pPr>
        <w:jc w:val="center"/>
        <w:spacing w:lineRule="auto" w:line="240" w:after="0"/>
        <w:rPr>
          <w:rFonts w:ascii="Cambria" w:hAnsi="Cambria" w:cs="Times New Roman"/>
          <w:sz w:val="24"/>
        </w:rPr>
      </w:pPr>
      <w:r>
        <w:rPr>
          <w:rFonts w:ascii="Cambria" w:hAnsi="Cambria" w:cs="Times New Roman"/>
          <w:sz w:val="24"/>
        </w:rPr>
        <w:t xml:space="preserve">по взаимодействию с федеральными органами государственными власти</w:t>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t xml:space="preserve">Комиссией Алтайского края по противодействию экстремизму</w:t>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t xml:space="preserve">Управлением по вопросам миграции </w:t>
      </w:r>
      <w:r>
        <w:rPr>
          <w:rFonts w:ascii="Cambria" w:hAnsi="Cambria" w:cs="Times New Roman"/>
          <w:sz w:val="24"/>
        </w:rPr>
        <w:br/>
        <w:t xml:space="preserve">Главного управления Министерства внутренних дел </w:t>
      </w:r>
      <w:r/>
    </w:p>
    <w:p>
      <w:pPr>
        <w:jc w:val="center"/>
        <w:spacing w:lineRule="auto" w:line="240" w:after="0"/>
        <w:rPr>
          <w:rFonts w:ascii="Cambria" w:hAnsi="Cambria" w:cs="Times New Roman"/>
          <w:sz w:val="24"/>
        </w:rPr>
      </w:pPr>
      <w:r>
        <w:rPr>
          <w:rFonts w:ascii="Cambria" w:hAnsi="Cambria" w:cs="Times New Roman"/>
          <w:sz w:val="24"/>
        </w:rPr>
        <w:t xml:space="preserve">Российской Федерации по Алтайскому краю</w:t>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t xml:space="preserve">Управлением молодежной политики</w:t>
      </w:r>
      <w:r/>
    </w:p>
    <w:p>
      <w:pPr>
        <w:jc w:val="center"/>
        <w:spacing w:lineRule="auto" w:line="240" w:after="0"/>
        <w:rPr>
          <w:rFonts w:ascii="Cambria" w:hAnsi="Cambria" w:cs="Times New Roman"/>
          <w:sz w:val="24"/>
        </w:rPr>
      </w:pPr>
      <w:r>
        <w:rPr>
          <w:rFonts w:ascii="Cambria" w:hAnsi="Cambria" w:cs="Times New Roman"/>
          <w:sz w:val="24"/>
        </w:rPr>
        <w:t xml:space="preserve">и реализации программ общественного развития Алтайского края</w:t>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t xml:space="preserve">Данная памятка подготовлена в рамках реализации </w:t>
      </w:r>
      <w:r/>
    </w:p>
    <w:p>
      <w:pPr>
        <w:jc w:val="center"/>
        <w:spacing w:lineRule="auto" w:line="240" w:after="0"/>
        <w:rPr>
          <w:rFonts w:ascii="Cambria" w:hAnsi="Cambria" w:cs="Times New Roman"/>
          <w:sz w:val="24"/>
        </w:rPr>
      </w:pPr>
      <w:r>
        <w:rPr>
          <w:rFonts w:ascii="Cambria" w:hAnsi="Cambria" w:cs="Times New Roman"/>
          <w:sz w:val="24"/>
        </w:rPr>
        <w:t xml:space="preserve">государственной программы Алтайского края </w:t>
      </w:r>
      <w:r>
        <w:rPr>
          <w:rFonts w:ascii="Cambria" w:hAnsi="Cambria" w:cs="Times New Roman"/>
          <w:sz w:val="24"/>
        </w:rPr>
        <w:br/>
        <w:t xml:space="preserve">«Противодействие экстремизму и идеологии терроризма в Алтайском крае» </w:t>
      </w:r>
      <w:r>
        <w:rPr>
          <w:rFonts w:ascii="Cambria" w:hAnsi="Cambria" w:cs="Times New Roman"/>
          <w:sz w:val="24"/>
        </w:rPr>
        <w:br/>
        <w:t xml:space="preserve">и направлена на интеграцию и социокультурную адаптацию</w:t>
      </w:r>
      <w:r/>
    </w:p>
    <w:p>
      <w:pPr>
        <w:jc w:val="center"/>
        <w:spacing w:lineRule="auto" w:line="240" w:after="0"/>
        <w:rPr>
          <w:rFonts w:ascii="Cambria" w:hAnsi="Cambria"/>
          <w:sz w:val="24"/>
          <w:szCs w:val="24"/>
        </w:rPr>
      </w:pPr>
      <w:r>
        <w:rPr>
          <w:rFonts w:ascii="Cambria" w:hAnsi="Cambria" w:cs="Times New Roman"/>
          <w:sz w:val="24"/>
        </w:rPr>
        <w:t xml:space="preserve">иностранных граждан в Алтайском крае, а также на </w:t>
      </w:r>
      <w:r>
        <w:rPr>
          <w:rFonts w:ascii="Cambria" w:hAnsi="Cambria"/>
          <w:sz w:val="24"/>
          <w:szCs w:val="24"/>
        </w:rPr>
        <w:t xml:space="preserve">профилактику экстремизма </w:t>
      </w:r>
      <w:r/>
    </w:p>
    <w:p>
      <w:pPr>
        <w:jc w:val="center"/>
        <w:spacing w:lineRule="auto" w:line="240" w:after="0"/>
        <w:rPr>
          <w:rFonts w:ascii="Cambria" w:hAnsi="Cambria" w:cs="Times New Roman"/>
          <w:sz w:val="24"/>
        </w:rPr>
      </w:pPr>
      <w:r>
        <w:rPr>
          <w:rFonts w:ascii="Cambria" w:hAnsi="Cambria"/>
          <w:sz w:val="24"/>
          <w:szCs w:val="24"/>
        </w:rPr>
        <w:t xml:space="preserve">и распространения радикальных идеологий в миграционной среде.</w:t>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t xml:space="preserve">При подготовке данной памятки использовались материалы, содержащиеся на следующих ресурсах</w:t>
      </w:r>
      <w:r>
        <w:rPr>
          <w:rFonts w:ascii="Cambria" w:hAnsi="Cambria"/>
          <w:sz w:val="24"/>
          <w:szCs w:val="24"/>
        </w:rPr>
        <w:t xml:space="preserve">:</w:t>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t xml:space="preserve">Официальный сайт Алтайского края (</w:t>
      </w:r>
      <w:hyperlink r:id="rId10" w:history="1">
        <w:r>
          <w:rPr>
            <w:rStyle w:val="572"/>
            <w:rFonts w:ascii="Cambria" w:hAnsi="Cambria"/>
            <w:color w:val="auto"/>
            <w:sz w:val="24"/>
            <w:szCs w:val="24"/>
            <w:u w:val="none"/>
          </w:rPr>
          <w:t xml:space="preserve">www.altairegion22.ru)</w:t>
        </w:r>
      </w:hyperlink>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t xml:space="preserve">Официальный сайт полномочного представителя </w:t>
      </w:r>
      <w:r/>
    </w:p>
    <w:p>
      <w:pPr>
        <w:jc w:val="center"/>
        <w:spacing w:lineRule="auto" w:line="240" w:after="0"/>
        <w:rPr>
          <w:rFonts w:ascii="Cambria" w:hAnsi="Cambria"/>
          <w:sz w:val="24"/>
          <w:szCs w:val="24"/>
        </w:rPr>
      </w:pPr>
      <w:r>
        <w:rPr>
          <w:rFonts w:ascii="Cambria" w:hAnsi="Cambria"/>
          <w:sz w:val="24"/>
          <w:szCs w:val="24"/>
        </w:rPr>
        <w:t xml:space="preserve">Президента Российской Федерации в Сибирском федеральном округе (</w:t>
      </w:r>
      <w:r>
        <w:rPr>
          <w:rFonts w:ascii="Cambria" w:hAnsi="Cambria"/>
          <w:sz w:val="24"/>
          <w:szCs w:val="24"/>
          <w:lang w:val="en-US"/>
        </w:rPr>
        <w:t xml:space="preserve">www</w:t>
      </w:r>
      <w:r>
        <w:rPr>
          <w:rFonts w:ascii="Cambria" w:hAnsi="Cambria"/>
          <w:sz w:val="24"/>
          <w:szCs w:val="24"/>
        </w:rPr>
        <w:t xml:space="preserve">.sfo.gov.ru)</w:t>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r>
      <w:r/>
    </w:p>
    <w:p>
      <w:pPr>
        <w:jc w:val="center"/>
        <w:spacing w:lineRule="auto" w:line="240" w:after="0"/>
        <w:rPr>
          <w:rFonts w:ascii="Cambria" w:hAnsi="Cambria"/>
          <w:sz w:val="24"/>
          <w:szCs w:val="24"/>
        </w:rPr>
      </w:pPr>
      <w:r>
        <w:rPr>
          <w:rFonts w:ascii="Cambria" w:hAnsi="Cambria"/>
          <w:sz w:val="24"/>
          <w:szCs w:val="24"/>
        </w:rPr>
        <w:t xml:space="preserve">Типография – КГАУ «Краевой дворец молодежи»</w:t>
      </w:r>
      <w:r/>
    </w:p>
    <w:p>
      <w:pPr>
        <w:jc w:val="center"/>
        <w:spacing w:lineRule="auto" w:line="240" w:after="0"/>
        <w:rPr>
          <w:rFonts w:ascii="Cambria" w:hAnsi="Cambria"/>
          <w:sz w:val="24"/>
          <w:szCs w:val="24"/>
        </w:rPr>
      </w:pPr>
      <w:r>
        <w:rPr>
          <w:rFonts w:ascii="Cambria" w:hAnsi="Cambria"/>
          <w:sz w:val="24"/>
          <w:szCs w:val="24"/>
        </w:rPr>
        <w:t xml:space="preserve">Тираж – 200 экземпляров</w:t>
      </w:r>
      <w:r>
        <w:rPr>
          <w:rFonts w:ascii="Cambria" w:hAnsi="Cambria"/>
          <w:sz w:val="24"/>
          <w:szCs w:val="24"/>
        </w:rPr>
        <w:br w:type="page"/>
      </w:r>
      <w:r/>
    </w:p>
    <w:p>
      <w:pPr>
        <w:jc w:val="center"/>
        <w:spacing w:lineRule="auto" w:line="240" w:after="0"/>
        <w:rPr>
          <w:rFonts w:ascii="Cambria" w:hAnsi="Cambria"/>
          <w:sz w:val="24"/>
          <w:szCs w:val="24"/>
        </w:rPr>
      </w:pPr>
      <w:r>
        <w:rPr>
          <w:rFonts w:ascii="Cambria" w:hAnsi="Cambria"/>
          <w:sz w:val="24"/>
          <w:szCs w:val="24"/>
        </w:rPr>
        <w:t xml:space="preserve">Содержание</w:t>
      </w:r>
      <w:r/>
    </w:p>
    <w:p>
      <w:pPr>
        <w:jc w:val="center"/>
        <w:spacing w:lineRule="auto" w:line="240" w:after="0"/>
        <w:rPr>
          <w:rFonts w:ascii="Cambria" w:hAnsi="Cambria"/>
          <w:sz w:val="24"/>
          <w:szCs w:val="24"/>
        </w:rPr>
      </w:pPr>
      <w:r>
        <w:rPr>
          <w:rFonts w:ascii="Cambria" w:hAnsi="Cambria"/>
          <w:sz w:val="24"/>
          <w:szCs w:val="24"/>
        </w:rPr>
      </w:r>
      <w:r/>
    </w:p>
    <w:tbl>
      <w:tblPr>
        <w:tblStyle w:val="571"/>
        <w:tblW w:w="0" w:type="auto"/>
        <w:tblBorders>
          <w:left w:val="none" w:sz="0" w:space="0" w:color="auto"/>
          <w:top w:val="none" w:sz="0" w:space="0" w:color="auto"/>
          <w:right w:val="none" w:sz="0" w:space="0" w:color="auto"/>
          <w:bottom w:val="none" w:sz="0" w:space="0" w:color="auto"/>
          <w:insideV w:val="none" w:sz="0" w:space="0" w:color="auto"/>
          <w:insideH w:val="none" w:sz="0" w:space="0" w:color="auto"/>
        </w:tblBorders>
        <w:tblLayout w:type="fixed"/>
        <w:tblLook w:val="04A0" w:firstRow="1" w:lastRow="0" w:firstColumn="1" w:lastColumn="0" w:noHBand="0" w:noVBand="1"/>
      </w:tblPr>
      <w:tblGrid>
        <w:gridCol w:w="8895"/>
        <w:gridCol w:w="959"/>
      </w:tblGrid>
      <w:tr>
        <w:trPr/>
        <w:tc>
          <w:tcPr>
            <w:tcW w:w="8895" w:type="dxa"/>
            <w:textDirection w:val="lrTb"/>
            <w:noWrap/>
          </w:tcPr>
          <w:p>
            <w:pPr>
              <w:rPr>
                <w:rFonts w:ascii="PT Astra Serif" w:hAnsi="PT Astra Serif" w:cs="PT Astra Serif" w:eastAsia="PT Astra Serif"/>
                <w:sz w:val="28"/>
                <w:szCs w:val="21"/>
              </w:rPr>
            </w:pPr>
            <w:r>
              <w:rPr>
                <w:rFonts w:ascii="PT Astra Serif" w:hAnsi="PT Astra Serif" w:cs="PT Astra Serif" w:eastAsia="PT Astra Serif"/>
                <w:sz w:val="28"/>
                <w:szCs w:val="21"/>
              </w:rPr>
              <w:t xml:space="preserve">1. Информация об Алтайском крае: история, герб, флаг</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lang w:val="en-US"/>
              </w:rPr>
              <w:t xml:space="preserve">4</w:t>
            </w:r>
            <w:r>
              <w:rPr>
                <w:rFonts w:ascii="PT Astra Serif" w:hAnsi="PT Astra Serif" w:cs="PT Astra Serif" w:eastAsia="PT Astra Serif"/>
                <w:sz w:val="28"/>
              </w:rPr>
              <w:t xml:space="preserve">-5</w:t>
            </w:r>
            <w:r>
              <w:rPr>
                <w:rFonts w:ascii="PT Astra Serif" w:hAnsi="PT Astra Serif" w:cs="PT Astra Serif" w:eastAsia="PT Astra Serif"/>
                <w:sz w:val="28"/>
              </w:rPr>
            </w:r>
            <w:r/>
          </w:p>
        </w:tc>
      </w:tr>
      <w:tr>
        <w:trPr/>
        <w:tc>
          <w:tcPr>
            <w:tcW w:w="8895" w:type="dxa"/>
            <w:textDirection w:val="lrTb"/>
            <w:noWrap/>
          </w:tcPr>
          <w:p>
            <w:pPr>
              <w:rPr>
                <w:rFonts w:ascii="PT Astra Serif" w:hAnsi="PT Astra Serif" w:cs="PT Astra Serif" w:eastAsia="PT Astra Serif"/>
                <w:sz w:val="28"/>
                <w:szCs w:val="21"/>
              </w:rPr>
            </w:pPr>
            <w:r>
              <w:rPr>
                <w:rFonts w:ascii="PT Astra Serif" w:hAnsi="PT Astra Serif" w:cs="PT Astra Serif" w:eastAsia="PT Astra Serif"/>
                <w:sz w:val="28"/>
                <w:szCs w:val="21"/>
              </w:rPr>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lang w:val="en-US"/>
              </w:rPr>
            </w:r>
            <w:r>
              <w:rPr>
                <w:rFonts w:ascii="PT Astra Serif" w:hAnsi="PT Astra Serif" w:cs="PT Astra Serif" w:eastAsia="PT Astra Serif"/>
                <w:sz w:val="28"/>
              </w:rPr>
            </w:r>
            <w:r/>
          </w:p>
        </w:tc>
      </w:tr>
      <w:tr>
        <w:trPr/>
        <w:tc>
          <w:tcPr>
            <w:tcW w:w="8895" w:type="dxa"/>
            <w:textDirection w:val="lrTb"/>
            <w:noWrap/>
          </w:tcPr>
          <w:p>
            <w:pPr>
              <w:rPr>
                <w:rFonts w:ascii="PT Astra Serif" w:hAnsi="PT Astra Serif" w:cs="PT Astra Serif" w:eastAsia="PT Astra Serif"/>
                <w:sz w:val="28"/>
                <w:szCs w:val="21"/>
              </w:rPr>
            </w:pPr>
            <w:r>
              <w:rPr>
                <w:rFonts w:ascii="PT Astra Serif" w:hAnsi="PT Astra Serif" w:cs="PT Astra Serif" w:eastAsia="PT Astra Serif"/>
                <w:sz w:val="28"/>
                <w:szCs w:val="21"/>
              </w:rPr>
              <w:t xml:space="preserve">2. Памятка для иностранных граждан о прохождении военной службы в </w:t>
            </w:r>
            <w:r>
              <w:rPr>
                <w:rFonts w:ascii="PT Astra Serif" w:hAnsi="PT Astra Serif" w:cs="PT Astra Serif" w:eastAsia="PT Astra Serif"/>
                <w:sz w:val="28"/>
                <w:szCs w:val="21"/>
              </w:rPr>
              <w:br/>
              <w:t xml:space="preserve">Вооруженных Силах Российской Федерации по контракту</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6-8</w:t>
            </w:r>
            <w:r>
              <w:rPr>
                <w:rFonts w:ascii="PT Astra Serif" w:hAnsi="PT Astra Serif" w:cs="PT Astra Serif" w:eastAsia="PT Astra Serif"/>
                <w:sz w:val="28"/>
              </w:rPr>
            </w:r>
            <w:r/>
          </w:p>
        </w:tc>
      </w:tr>
      <w:tr>
        <w:trPr/>
        <w:tc>
          <w:tcPr>
            <w:tcW w:w="8895" w:type="dxa"/>
            <w:textDirection w:val="lrTb"/>
            <w:noWrap/>
          </w:tcPr>
          <w:p>
            <w:pPr>
              <w:rPr>
                <w:rFonts w:ascii="PT Astra Serif" w:hAnsi="PT Astra Serif" w:cs="PT Astra Serif" w:eastAsia="PT Astra Serif"/>
                <w:sz w:val="28"/>
                <w:szCs w:val="21"/>
              </w:rPr>
            </w:pPr>
            <w:r>
              <w:rPr>
                <w:rFonts w:ascii="PT Astra Serif" w:hAnsi="PT Astra Serif" w:cs="PT Astra Serif" w:eastAsia="PT Astra Serif"/>
                <w:sz w:val="28"/>
                <w:szCs w:val="21"/>
              </w:rPr>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r>
            <w:r>
              <w:rPr>
                <w:rFonts w:ascii="PT Astra Serif" w:hAnsi="PT Astra Serif" w:cs="PT Astra Serif" w:eastAsia="PT Astra Serif"/>
                <w:sz w:val="28"/>
              </w:rPr>
            </w:r>
            <w:r/>
          </w:p>
        </w:tc>
      </w:tr>
      <w:tr>
        <w:trPr/>
        <w:tc>
          <w:tcPr>
            <w:tcW w:w="8895" w:type="dxa"/>
            <w:textDirection w:val="lrTb"/>
            <w:noWrap/>
          </w:tcPr>
          <w:p>
            <w:pPr>
              <w:rPr>
                <w:rFonts w:ascii="PT Astra Serif" w:hAnsi="PT Astra Serif" w:cs="PT Astra Serif" w:eastAsia="PT Astra Serif"/>
                <w:sz w:val="28"/>
                <w:szCs w:val="21"/>
              </w:rPr>
            </w:pPr>
            <w:r>
              <w:rPr>
                <w:rFonts w:ascii="PT Astra Serif" w:hAnsi="PT Astra Serif" w:cs="PT Astra Serif" w:eastAsia="PT Astra Serif"/>
                <w:sz w:val="28"/>
                <w:szCs w:val="21"/>
              </w:rPr>
              <w:t xml:space="preserve">3. Правовые аспекты пребывания трудового мигранта в </w:t>
            </w:r>
            <w:r>
              <w:rPr>
                <w:rFonts w:ascii="PT Astra Serif" w:hAnsi="PT Astra Serif" w:cs="PT Astra Serif" w:eastAsia="PT Astra Serif"/>
                <w:sz w:val="28"/>
                <w:szCs w:val="21"/>
              </w:rPr>
              <w:br/>
              <w:t xml:space="preserve">Российскую Федерацию</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9-19</w:t>
            </w:r>
            <w:r>
              <w:rPr>
                <w:rFonts w:ascii="PT Astra Serif" w:hAnsi="PT Astra Serif" w:cs="PT Astra Serif" w:eastAsia="PT Astra Serif"/>
                <w:sz w:val="28"/>
              </w:rPr>
            </w:r>
            <w:r/>
          </w:p>
        </w:tc>
      </w:tr>
      <w:tr>
        <w:trPr/>
        <w:tc>
          <w:tcPr>
            <w:tcW w:w="8895" w:type="dxa"/>
            <w:textDirection w:val="lrTb"/>
            <w:noWrap/>
          </w:tcPr>
          <w:p>
            <w:pPr>
              <w:rPr>
                <w:rFonts w:ascii="PT Astra Serif" w:hAnsi="PT Astra Serif" w:cs="PT Astra Serif" w:eastAsia="PT Astra Serif"/>
                <w:sz w:val="24"/>
              </w:rPr>
            </w:pPr>
            <w:r>
              <w:rPr>
                <w:rFonts w:ascii="PT Astra Serif" w:hAnsi="PT Astra Serif" w:cs="PT Astra Serif" w:eastAsia="PT Astra Serif"/>
                <w:sz w:val="24"/>
              </w:rPr>
              <w:t xml:space="preserve">Пересечение границы Российской Федерации и оформление миграционной карты</w:t>
            </w:r>
            <w:r>
              <w:rPr>
                <w:rFonts w:ascii="PT Astra Serif" w:hAnsi="PT Astra Serif" w:cs="PT Astra Serif" w:eastAsia="PT Astra Serif"/>
                <w:sz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9-11</w:t>
            </w:r>
            <w:r>
              <w:rPr>
                <w:rFonts w:ascii="PT Astra Serif" w:hAnsi="PT Astra Serif" w:cs="PT Astra Serif" w:eastAsia="PT Astra Serif"/>
                <w:sz w:val="24"/>
              </w:rPr>
            </w:r>
            <w:r/>
          </w:p>
        </w:tc>
      </w:tr>
      <w:tr>
        <w:trPr/>
        <w:tc>
          <w:tcPr>
            <w:tcW w:w="8895" w:type="dxa"/>
            <w:textDirection w:val="lrTb"/>
            <w:noWrap/>
          </w:tcPr>
          <w:p>
            <w:pPr>
              <w:rPr>
                <w:rFonts w:ascii="PT Astra Serif" w:hAnsi="PT Astra Serif" w:cs="PT Astra Serif" w:eastAsia="PT Astra Serif"/>
                <w:sz w:val="24"/>
              </w:rPr>
            </w:pPr>
            <w:r>
              <w:rPr>
                <w:rFonts w:ascii="PT Astra Serif" w:hAnsi="PT Astra Serif" w:cs="PT Astra Serif" w:eastAsia="PT Astra Serif"/>
                <w:sz w:val="24"/>
              </w:rPr>
              <w:t xml:space="preserve">Постановка на миграционный учет (регистрация)</w:t>
            </w:r>
            <w:r>
              <w:rPr>
                <w:rFonts w:ascii="PT Astra Serif" w:hAnsi="PT Astra Serif" w:cs="PT Astra Serif" w:eastAsia="PT Astra Serif"/>
                <w:sz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11-15</w:t>
            </w:r>
            <w:r>
              <w:rPr>
                <w:rFonts w:ascii="PT Astra Serif" w:hAnsi="PT Astra Serif" w:cs="PT Astra Serif" w:eastAsia="PT Astra Serif"/>
                <w:sz w:val="24"/>
              </w:rPr>
            </w:r>
            <w:r/>
          </w:p>
        </w:tc>
      </w:tr>
      <w:tr>
        <w:trPr/>
        <w:tc>
          <w:tcPr>
            <w:tcW w:w="8895" w:type="dxa"/>
            <w:vMerge w:val="restart"/>
            <w:textDirection w:val="lrTb"/>
            <w:noWrap/>
          </w:tcPr>
          <w:p>
            <w:pPr>
              <w:rPr>
                <w:rFonts w:ascii="PT Astra Serif" w:hAnsi="PT Astra Serif" w:cs="PT Astra Serif" w:eastAsia="PT Astra Serif"/>
                <w:sz w:val="24"/>
              </w:rPr>
            </w:pPr>
            <w:r>
              <w:rPr>
                <w:rFonts w:ascii="PT Astra Serif" w:hAnsi="PT Astra Serif" w:cs="PT Astra Serif" w:eastAsia="PT Astra Serif"/>
                <w:sz w:val="24"/>
              </w:rPr>
              <w:t xml:space="preserve">Временно проживающие на территории России иностранцы</w:t>
            </w:r>
            <w:r>
              <w:rPr>
                <w:rFonts w:ascii="PT Astra Serif" w:hAnsi="PT Astra Serif" w:cs="PT Astra Serif" w:eastAsia="PT Astra Serif"/>
                <w:sz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14</w:t>
            </w:r>
            <w:r>
              <w:rPr>
                <w:rFonts w:ascii="PT Astra Serif" w:hAnsi="PT Astra Serif" w:cs="PT Astra Serif" w:eastAsia="PT Astra Serif"/>
                <w:sz w:val="24"/>
              </w:rPr>
            </w:r>
            <w:r/>
          </w:p>
        </w:tc>
      </w:tr>
      <w:tr>
        <w:trPr/>
        <w:tc>
          <w:tcPr>
            <w:tcW w:w="8895" w:type="dxa"/>
            <w:vMerge w:val="restart"/>
            <w:textDirection w:val="lrTb"/>
            <w:noWrap/>
          </w:tcPr>
          <w:p>
            <w:pPr>
              <w:rPr>
                <w:rFonts w:ascii="PT Astra Serif" w:hAnsi="PT Astra Serif" w:cs="PT Astra Serif" w:eastAsia="PT Astra Serif"/>
                <w:sz w:val="24"/>
              </w:rPr>
            </w:pPr>
            <w:r>
              <w:rPr>
                <w:rFonts w:ascii="PT Astra Serif" w:hAnsi="PT Astra Serif" w:cs="PT Astra Serif" w:eastAsia="PT Astra Serif"/>
                <w:sz w:val="24"/>
              </w:rPr>
              <w:t xml:space="preserve">Постоянно проживающие на территории России иностранцы, имеющие вид на жительство</w:t>
            </w:r>
            <w:r>
              <w:rPr>
                <w:rFonts w:ascii="PT Astra Serif" w:hAnsi="PT Astra Serif" w:cs="PT Astra Serif" w:eastAsia="PT Astra Serif"/>
                <w:sz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15</w:t>
            </w:r>
            <w:r>
              <w:rPr>
                <w:rFonts w:ascii="PT Astra Serif" w:hAnsi="PT Astra Serif" w:cs="PT Astra Serif" w:eastAsia="PT Astra Serif"/>
                <w:sz w:val="24"/>
              </w:rPr>
            </w:r>
            <w:r/>
          </w:p>
        </w:tc>
      </w:tr>
      <w:tr>
        <w:trPr/>
        <w:tc>
          <w:tcPr>
            <w:tcW w:w="8895" w:type="dxa"/>
            <w:textDirection w:val="lrTb"/>
            <w:noWrap/>
          </w:tcPr>
          <w:p>
            <w:pPr>
              <w:rPr>
                <w:rFonts w:ascii="PT Astra Serif" w:hAnsi="PT Astra Serif" w:cs="PT Astra Serif" w:eastAsia="PT Astra Serif"/>
                <w:sz w:val="24"/>
                <w:szCs w:val="24"/>
              </w:rPr>
            </w:pPr>
            <w:r>
              <w:rPr>
                <w:rFonts w:ascii="PT Astra Serif" w:hAnsi="PT Astra Serif" w:cs="PT Astra Serif" w:eastAsia="PT Astra Serif"/>
                <w:sz w:val="24"/>
              </w:rPr>
              <w:t xml:space="preserve">Правила трудоустройства иностранных граждан в Российской Федерации</w:t>
            </w:r>
            <w:r>
              <w:rPr>
                <w:rFonts w:ascii="PT Astra Serif" w:hAnsi="PT Astra Serif" w:cs="PT Astra Serif" w:eastAsia="PT Astra Serif"/>
                <w:sz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15-16</w:t>
            </w:r>
            <w:r>
              <w:rPr>
                <w:rFonts w:ascii="PT Astra Serif" w:hAnsi="PT Astra Serif" w:cs="PT Astra Serif" w:eastAsia="PT Astra Serif"/>
                <w:sz w:val="24"/>
              </w:rPr>
            </w:r>
            <w:r/>
          </w:p>
        </w:tc>
      </w:tr>
      <w:tr>
        <w:trPr>
          <w:trHeight w:val="0"/>
        </w:trPr>
        <w:tc>
          <w:tcPr>
            <w:tcW w:w="8895" w:type="dxa"/>
            <w:textDirection w:val="lrTb"/>
            <w:noWrap/>
          </w:tcPr>
          <w:p>
            <w:pPr>
              <w:jc w:val="both"/>
              <w:rPr>
                <w:rFonts w:ascii="PT Astra Serif" w:hAnsi="PT Astra Serif" w:cs="PT Astra Serif" w:eastAsia="PT Astra Serif"/>
                <w:sz w:val="24"/>
              </w:rPr>
            </w:pPr>
            <w:r>
              <w:rPr>
                <w:rFonts w:ascii="PT Astra Serif" w:hAnsi="PT Astra Serif" w:cs="PT Astra Serif" w:eastAsia="PT Astra Serif"/>
                <w:sz w:val="24"/>
              </w:rPr>
              <w:t xml:space="preserve">Оформление на работу по патенту</w:t>
            </w:r>
            <w:r>
              <w:rPr>
                <w:rFonts w:ascii="PT Astra Serif" w:hAnsi="PT Astra Serif" w:cs="PT Astra Serif" w:eastAsia="PT Astra Serif"/>
                <w:sz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16-17</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rPr>
            </w:pPr>
            <w:r>
              <w:rPr>
                <w:rFonts w:ascii="PT Astra Serif" w:hAnsi="PT Astra Serif" w:cs="PT Astra Serif" w:eastAsia="PT Astra Serif"/>
                <w:sz w:val="24"/>
              </w:rPr>
              <w:t xml:space="preserve">Документы, гарантирующие трудоустройство иностранного гражданина</w:t>
            </w:r>
            <w:r>
              <w:rPr>
                <w:rFonts w:ascii="PT Astra Serif" w:hAnsi="PT Astra Serif" w:cs="PT Astra Serif" w:eastAsia="PT Astra Serif"/>
                <w:sz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18-19</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8"/>
              </w:rPr>
            </w:pPr>
            <w:r>
              <w:rPr>
                <w:rFonts w:ascii="PT Astra Serif" w:hAnsi="PT Astra Serif" w:cs="PT Astra Serif" w:eastAsia="PT Astra Serif"/>
                <w:sz w:val="28"/>
              </w:rPr>
            </w:r>
            <w:r>
              <w:rPr>
                <w:rFonts w:ascii="PT Astra Serif" w:hAnsi="PT Astra Serif" w:cs="PT Astra Serif" w:eastAsia="PT Astra Serif"/>
                <w:sz w:val="28"/>
              </w:rPr>
            </w:r>
            <w:r/>
          </w:p>
        </w:tc>
        <w:tc>
          <w:tcPr>
            <w:tcW w:w="959" w:type="dxa"/>
            <w:vMerge w:val="restart"/>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r>
            <w:r>
              <w:rPr>
                <w:rFonts w:ascii="PT Astra Serif" w:hAnsi="PT Astra Serif" w:cs="PT Astra Serif" w:eastAsia="PT Astra Serif"/>
                <w:sz w:val="28"/>
              </w:rPr>
            </w:r>
            <w:r/>
          </w:p>
        </w:tc>
      </w:tr>
      <w:tr>
        <w:trPr/>
        <w:tc>
          <w:tcPr>
            <w:tcW w:w="8895" w:type="dxa"/>
            <w:textDirection w:val="lrTb"/>
            <w:noWrap/>
          </w:tcPr>
          <w:p>
            <w:pPr>
              <w:jc w:val="both"/>
              <w:rPr>
                <w:rFonts w:ascii="PT Astra Serif" w:hAnsi="PT Astra Serif" w:cs="PT Astra Serif" w:eastAsia="PT Astra Serif"/>
                <w:sz w:val="28"/>
              </w:rPr>
            </w:pPr>
            <w:r>
              <w:rPr>
                <w:rFonts w:ascii="PT Astra Serif" w:hAnsi="PT Astra Serif" w:cs="PT Astra Serif" w:eastAsia="PT Astra Serif"/>
                <w:color w:val="000000"/>
                <w:sz w:val="28"/>
                <w:szCs w:val="25"/>
                <w:shd w:val="clear" w:color="auto" w:fill="FFFFFF"/>
              </w:rPr>
              <w:t xml:space="preserve">4. Социальная и культурная адаптация иностранных граждан в России</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20-29</w:t>
            </w:r>
            <w:r>
              <w:rPr>
                <w:rFonts w:ascii="PT Astra Serif" w:hAnsi="PT Astra Serif" w:cs="PT Astra Serif" w:eastAsia="PT Astra Serif"/>
                <w:sz w:val="28"/>
              </w:rPr>
            </w:r>
            <w:r/>
          </w:p>
        </w:tc>
      </w:tr>
      <w:tr>
        <w:trPr/>
        <w:tc>
          <w:tcPr>
            <w:tcW w:w="8895" w:type="dxa"/>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Медицинское страхование иностранных граждан</w:t>
            </w:r>
            <w:r>
              <w:rPr>
                <w:rFonts w:ascii="PT Astra Serif" w:hAnsi="PT Astra Serif" w:cs="PT Astra Serif" w:eastAsia="PT Astra Serif"/>
                <w:sz w:val="24"/>
                <w:szCs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20-22</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Жилье</w:t>
            </w:r>
            <w:r>
              <w:rPr>
                <w:rFonts w:ascii="PT Astra Serif" w:hAnsi="PT Astra Serif" w:cs="PT Astra Serif" w:eastAsia="PT Astra Serif"/>
                <w:sz w:val="24"/>
                <w:szCs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22-23</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Права детей иностранны граждан на территории России</w:t>
            </w:r>
            <w:r>
              <w:rPr>
                <w:rFonts w:ascii="PT Astra Serif" w:hAnsi="PT Astra Serif" w:cs="PT Astra Serif" w:eastAsia="PT Astra Serif"/>
                <w:sz w:val="24"/>
                <w:szCs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23-24</w:t>
            </w:r>
            <w:r>
              <w:rPr>
                <w:rFonts w:ascii="PT Astra Serif" w:hAnsi="PT Astra Serif" w:cs="PT Astra Serif" w:eastAsia="PT Astra Serif"/>
                <w:sz w:val="24"/>
              </w:rPr>
            </w:r>
            <w:r/>
          </w:p>
        </w:tc>
      </w:tr>
      <w:tr>
        <w:trPr/>
        <w:tc>
          <w:tcPr>
            <w:tcW w:w="8895" w:type="dxa"/>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Культура и обычаи в России и Алтайском крае</w:t>
            </w:r>
            <w:r>
              <w:rPr>
                <w:rFonts w:ascii="PT Astra Serif" w:hAnsi="PT Astra Serif" w:cs="PT Astra Serif" w:eastAsia="PT Astra Serif"/>
                <w:sz w:val="24"/>
              </w:rPr>
            </w:r>
            <w:r/>
          </w:p>
        </w:tc>
        <w:tc>
          <w:tcPr>
            <w:tcW w:w="959" w:type="dxa"/>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25</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Образование в Алтайском крае</w:t>
            </w:r>
            <w:r>
              <w:rPr>
                <w:rFonts w:ascii="PT Astra Serif" w:hAnsi="PT Astra Serif" w:cs="PT Astra Serif" w:eastAsia="PT Astra Serif"/>
                <w:sz w:val="24"/>
                <w:szCs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26</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r>
            <w:r>
              <w:rPr>
                <w:rFonts w:ascii="PT Astra Serif" w:hAnsi="PT Astra Serif" w:cs="PT Astra Serif" w:eastAsia="PT Astra Serif"/>
                <w:sz w:val="24"/>
                <w:szCs w:val="24"/>
              </w:rPr>
              <w:t xml:space="preserve">Религиозные организации в Алтайском крае</w:t>
            </w:r>
            <w:r>
              <w:rPr>
                <w:rFonts w:ascii="PT Astra Serif" w:hAnsi="PT Astra Serif" w:cs="PT Astra Serif" w:eastAsia="PT Astra Serif"/>
                <w:sz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27-28</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t xml:space="preserve">Нормы поведения в общественных местах</w:t>
            </w:r>
            <w:r>
              <w:rPr>
                <w:rFonts w:ascii="PT Astra Serif" w:hAnsi="PT Astra Serif" w:cs="PT Astra Serif" w:eastAsia="PT Astra Serif"/>
                <w:sz w:val="24"/>
                <w:szCs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t xml:space="preserve">29</w:t>
            </w:r>
            <w:r>
              <w:rPr>
                <w:rFonts w:ascii="PT Astra Serif" w:hAnsi="PT Astra Serif" w:cs="PT Astra Serif" w:eastAsia="PT Astra Serif"/>
                <w:sz w:val="24"/>
              </w:rPr>
            </w:r>
            <w:r/>
          </w:p>
        </w:tc>
      </w:tr>
      <w:tr>
        <w:trPr/>
        <w:tc>
          <w:tcPr>
            <w:tcW w:w="8895" w:type="dxa"/>
            <w:vMerge w:val="restart"/>
            <w:textDirection w:val="lrTb"/>
            <w:noWrap/>
          </w:tcPr>
          <w:p>
            <w:pPr>
              <w:jc w:val="both"/>
              <w:rPr>
                <w:rFonts w:ascii="PT Astra Serif" w:hAnsi="PT Astra Serif" w:cs="PT Astra Serif" w:eastAsia="PT Astra Serif"/>
                <w:sz w:val="24"/>
                <w:szCs w:val="24"/>
              </w:rPr>
            </w:pPr>
            <w:r>
              <w:rPr>
                <w:rFonts w:ascii="PT Astra Serif" w:hAnsi="PT Astra Serif" w:cs="PT Astra Serif" w:eastAsia="PT Astra Serif"/>
                <w:sz w:val="24"/>
                <w:szCs w:val="24"/>
              </w:rPr>
            </w:r>
            <w:r>
              <w:rPr>
                <w:rFonts w:ascii="PT Astra Serif" w:hAnsi="PT Astra Serif" w:cs="PT Astra Serif" w:eastAsia="PT Astra Serif"/>
                <w:sz w:val="24"/>
                <w:szCs w:val="24"/>
              </w:rPr>
            </w:r>
            <w:r/>
          </w:p>
        </w:tc>
        <w:tc>
          <w:tcPr>
            <w:tcW w:w="959" w:type="dxa"/>
            <w:vMerge w:val="restart"/>
            <w:textDirection w:val="lrTb"/>
            <w:noWrap/>
          </w:tcPr>
          <w:p>
            <w:pPr>
              <w:jc w:val="right"/>
              <w:rPr>
                <w:rFonts w:ascii="PT Astra Serif" w:hAnsi="PT Astra Serif" w:cs="PT Astra Serif" w:eastAsia="PT Astra Serif"/>
                <w:sz w:val="24"/>
              </w:rPr>
            </w:pPr>
            <w:r>
              <w:rPr>
                <w:rFonts w:ascii="PT Astra Serif" w:hAnsi="PT Astra Serif" w:cs="PT Astra Serif" w:eastAsia="PT Astra Serif"/>
                <w:sz w:val="24"/>
              </w:rPr>
            </w:r>
            <w:r>
              <w:rPr>
                <w:rFonts w:ascii="PT Astra Serif" w:hAnsi="PT Astra Serif" w:cs="PT Astra Serif" w:eastAsia="PT Astra Serif"/>
                <w:sz w:val="24"/>
              </w:rPr>
            </w:r>
            <w:r/>
          </w:p>
        </w:tc>
      </w:tr>
      <w:tr>
        <w:trPr/>
        <w:tc>
          <w:tcPr>
            <w:tcW w:w="8895" w:type="dxa"/>
            <w:textDirection w:val="lrTb"/>
            <w:noWrap/>
          </w:tcPr>
          <w:p>
            <w:pPr>
              <w:jc w:val="both"/>
              <w:rPr>
                <w:rFonts w:ascii="PT Astra Serif" w:hAnsi="PT Astra Serif" w:cs="PT Astra Serif" w:eastAsia="PT Astra Serif"/>
                <w:color w:val="000000"/>
                <w:sz w:val="28"/>
                <w:szCs w:val="24"/>
              </w:rPr>
            </w:pPr>
            <w:r>
              <w:rPr>
                <w:rFonts w:ascii="PT Astra Serif" w:hAnsi="PT Astra Serif" w:cs="PT Astra Serif" w:eastAsia="PT Astra Serif"/>
                <w:color w:val="000000"/>
                <w:sz w:val="28"/>
                <w:szCs w:val="24"/>
                <w:lang w:eastAsia="ru-RU"/>
              </w:rPr>
              <w:t xml:space="preserve">5. Юридическая ответственность за участие в деятельности экстремистских и террористических организаций</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30-32</w:t>
            </w:r>
            <w:r>
              <w:rPr>
                <w:rFonts w:ascii="PT Astra Serif" w:hAnsi="PT Astra Serif" w:cs="PT Astra Serif" w:eastAsia="PT Astra Serif"/>
                <w:sz w:val="28"/>
              </w:rPr>
            </w:r>
            <w:r/>
          </w:p>
        </w:tc>
      </w:tr>
      <w:tr>
        <w:trPr/>
        <w:tc>
          <w:tcPr>
            <w:tcW w:w="8895" w:type="dxa"/>
            <w:textDirection w:val="lrTb"/>
            <w:noWrap/>
          </w:tcPr>
          <w:p>
            <w:pPr>
              <w:jc w:val="both"/>
              <w:rPr>
                <w:rFonts w:ascii="PT Astra Serif" w:hAnsi="PT Astra Serif" w:cs="PT Astra Serif" w:eastAsia="PT Astra Serif"/>
                <w:color w:val="000000"/>
                <w:sz w:val="28"/>
                <w:szCs w:val="24"/>
              </w:rPr>
            </w:pPr>
            <w:r>
              <w:rPr>
                <w:rFonts w:ascii="PT Astra Serif" w:hAnsi="PT Astra Serif" w:cs="PT Astra Serif" w:eastAsia="PT Astra Serif"/>
                <w:color w:val="000000"/>
                <w:sz w:val="28"/>
                <w:szCs w:val="24"/>
                <w:lang w:eastAsia="ru-RU"/>
              </w:rPr>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lang w:val="en-US"/>
              </w:rPr>
            </w:r>
            <w:r>
              <w:rPr>
                <w:rFonts w:ascii="PT Astra Serif" w:hAnsi="PT Astra Serif" w:cs="PT Astra Serif" w:eastAsia="PT Astra Serif"/>
                <w:sz w:val="28"/>
              </w:rPr>
            </w:r>
            <w:r/>
          </w:p>
        </w:tc>
      </w:tr>
      <w:tr>
        <w:trPr/>
        <w:tc>
          <w:tcPr>
            <w:tcW w:w="8895" w:type="dxa"/>
            <w:textDirection w:val="lrTb"/>
            <w:noWrap/>
          </w:tcPr>
          <w:p>
            <w:pPr>
              <w:jc w:val="both"/>
              <w:rPr>
                <w:rFonts w:ascii="PT Astra Serif" w:hAnsi="PT Astra Serif" w:cs="PT Astra Serif" w:eastAsia="PT Astra Serif"/>
                <w:sz w:val="28"/>
              </w:rPr>
            </w:pPr>
            <w:r>
              <w:rPr>
                <w:rFonts w:ascii="PT Astra Serif" w:hAnsi="PT Astra Serif" w:cs="PT Astra Serif" w:eastAsia="PT Astra Serif"/>
                <w:sz w:val="28"/>
              </w:rPr>
              <w:t xml:space="preserve">6. Перечень запрещенных на территории Российской Федерации экстремистских организаций</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33-40</w:t>
            </w:r>
            <w:r>
              <w:rPr>
                <w:rFonts w:ascii="PT Astra Serif" w:hAnsi="PT Astra Serif" w:cs="PT Astra Serif" w:eastAsia="PT Astra Serif"/>
                <w:sz w:val="28"/>
              </w:rPr>
            </w:r>
            <w:r/>
          </w:p>
        </w:tc>
      </w:tr>
      <w:tr>
        <w:trPr/>
        <w:tc>
          <w:tcPr>
            <w:tcW w:w="8895" w:type="dxa"/>
            <w:vMerge w:val="restart"/>
            <w:textDirection w:val="lrTb"/>
            <w:noWrap/>
          </w:tcPr>
          <w:p>
            <w:pPr>
              <w:jc w:val="both"/>
              <w:rPr>
                <w:rFonts w:ascii="PT Astra Serif" w:hAnsi="PT Astra Serif" w:cs="PT Astra Serif" w:eastAsia="PT Astra Serif"/>
                <w:sz w:val="28"/>
              </w:rPr>
            </w:pPr>
            <w:r>
              <w:rPr>
                <w:rFonts w:ascii="PT Astra Serif" w:hAnsi="PT Astra Serif" w:cs="PT Astra Serif" w:eastAsia="PT Astra Serif"/>
                <w:sz w:val="28"/>
              </w:rPr>
            </w:r>
            <w:r>
              <w:rPr>
                <w:rFonts w:ascii="PT Astra Serif" w:hAnsi="PT Astra Serif" w:cs="PT Astra Serif" w:eastAsia="PT Astra Serif"/>
                <w:sz w:val="28"/>
              </w:rPr>
            </w:r>
            <w:r/>
          </w:p>
        </w:tc>
        <w:tc>
          <w:tcPr>
            <w:tcW w:w="959" w:type="dxa"/>
            <w:vMerge w:val="restart"/>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r>
            <w:r>
              <w:rPr>
                <w:rFonts w:ascii="PT Astra Serif" w:hAnsi="PT Astra Serif" w:cs="PT Astra Serif" w:eastAsia="PT Astra Serif"/>
                <w:sz w:val="28"/>
              </w:rPr>
            </w:r>
            <w:r/>
          </w:p>
        </w:tc>
      </w:tr>
      <w:tr>
        <w:trPr/>
        <w:tc>
          <w:tcPr>
            <w:tcW w:w="8895" w:type="dxa"/>
            <w:textDirection w:val="lrTb"/>
            <w:noWrap/>
          </w:tcPr>
          <w:p>
            <w:pPr>
              <w:jc w:val="both"/>
              <w:rPr>
                <w:rFonts w:ascii="PT Astra Serif" w:hAnsi="PT Astra Serif" w:cs="PT Astra Serif" w:eastAsia="PT Astra Serif"/>
                <w:sz w:val="28"/>
              </w:rPr>
            </w:pPr>
            <w:r>
              <w:rPr>
                <w:rFonts w:ascii="PT Astra Serif" w:hAnsi="PT Astra Serif" w:cs="PT Astra Serif" w:eastAsia="PT Astra Serif"/>
                <w:sz w:val="28"/>
              </w:rPr>
              <w:t xml:space="preserve">7. Перечень запрещенных на территории Российской Федерации террористических организаций</w:t>
            </w:r>
            <w:r>
              <w:rPr>
                <w:rFonts w:ascii="PT Astra Serif" w:hAnsi="PT Astra Serif" w:cs="PT Astra Serif" w:eastAsia="PT Astra Serif"/>
                <w:sz w:val="28"/>
              </w:rPr>
            </w:r>
            <w:r/>
          </w:p>
        </w:tc>
        <w:tc>
          <w:tcPr>
            <w:tcW w:w="959" w:type="dxa"/>
            <w:textDirection w:val="lrTb"/>
            <w:noWrap/>
          </w:tcPr>
          <w:p>
            <w:pPr>
              <w:jc w:val="right"/>
              <w:rPr>
                <w:rFonts w:ascii="PT Astra Serif" w:hAnsi="PT Astra Serif" w:cs="PT Astra Serif" w:eastAsia="PT Astra Serif"/>
                <w:sz w:val="28"/>
              </w:rPr>
            </w:pPr>
            <w:r>
              <w:rPr>
                <w:rFonts w:ascii="PT Astra Serif" w:hAnsi="PT Astra Serif" w:cs="PT Astra Serif" w:eastAsia="PT Astra Serif"/>
                <w:sz w:val="28"/>
              </w:rPr>
              <w:t xml:space="preserve">41-44</w:t>
            </w:r>
            <w:r>
              <w:rPr>
                <w:rFonts w:ascii="PT Astra Serif" w:hAnsi="PT Astra Serif" w:cs="PT Astra Serif" w:eastAsia="PT Astra Serif"/>
                <w:sz w:val="28"/>
              </w:rPr>
            </w:r>
            <w:r/>
          </w:p>
        </w:tc>
      </w:tr>
    </w:tbl>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spacing w:lineRule="auto" w:line="240" w:after="0"/>
        <w:rPr>
          <w:rFonts w:ascii="Cambria" w:hAnsi="Cambria" w:cs="Times New Roman"/>
          <w:sz w:val="24"/>
        </w:rPr>
      </w:pPr>
      <w:r>
        <w:rPr>
          <w:rFonts w:ascii="Cambria" w:hAnsi="Cambria" w:cs="Times New Roman"/>
          <w:sz w:val="24"/>
        </w:rPr>
      </w:r>
      <w:r/>
    </w:p>
    <w:p>
      <w:pPr>
        <w:jc w:val="center"/>
        <w:rPr>
          <w:rFonts w:ascii="Cambria" w:hAnsi="Cambria" w:cs="Times New Roman"/>
          <w:b/>
          <w:sz w:val="24"/>
          <w:szCs w:val="24"/>
        </w:rPr>
      </w:pPr>
      <w:r>
        <w:rPr>
          <w:rFonts w:ascii="Cambria" w:hAnsi="Cambria" w:cs="Times New Roman"/>
          <w:sz w:val="24"/>
        </w:rPr>
        <w:br w:type="page"/>
      </w:r>
      <w:r>
        <w:rPr>
          <w:rFonts w:ascii="Cambria" w:hAnsi="Cambria" w:cs="Times New Roman"/>
          <w:b/>
          <w:sz w:val="24"/>
          <w:szCs w:val="24"/>
          <w:lang w:eastAsia="ru-RU"/>
        </w:rPr>
        <mc:AlternateContent>
          <mc:Choice Requires="wpg">
            <w:drawing>
              <wp:inline xmlns:wp="http://schemas.openxmlformats.org/drawingml/2006/wordprocessingDrawing" distT="0" distB="0" distL="0" distR="0">
                <wp:extent cx="5000625" cy="3562350"/>
                <wp:effectExtent l="0" t="0" r="0" b="0"/>
                <wp:docPr id="2" name="" hidden="false"/>
                <wp:cNvGraphicFramePr/>
                <a:graphic xmlns:a="http://schemas.openxmlformats.org/drawingml/2006/main">
                  <a:graphicData uri="http://schemas.openxmlformats.org/drawingml/2006/picture">
                    <pic:pic xmlns:pic="http://schemas.openxmlformats.org/drawingml/2006/picture">
                      <pic:nvPicPr>
                        <pic:cNvPr id="5" name="" hidden="0"/>
                        <pic:cNvPicPr/>
                      </pic:nvPicPr>
                      <pic:blipFill>
                        <a:blip r:embed="rId11"/>
                        <a:stretch/>
                      </pic:blipFill>
                      <pic:spPr bwMode="auto">
                        <a:xfrm>
                          <a:off x="0" y="0"/>
                          <a:ext cx="5000625" cy="35623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93.8pt;height:280.5pt;">
                <v:path textboxrect="0,0,0,0"/>
                <v:imagedata r:id="rId11" o:title=""/>
              </v:shape>
            </w:pict>
          </mc:Fallback>
        </mc:AlternateContent>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ИНФОРМАЦИЯ ОБ АЛТАЙСКОМ КРАЕ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Алтайский край расположен на юго-востоке Западной Сибири, на границе континентальной Азии, в 3419 км от Москвы. Территория края составляет 168 тыс. кв. км, по площади занимает 24-е место в Российской Федерации и 10-е место в Сибирском федеральном округе.</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На севере край граничит с Новосибирской областью, на востоке – с Кемеровской областью, юго-восточная граница проходит с Республикой Алтай, на юго-западе и западе – государственная граница с Республикой Казахстан протяженностью 843,6 км.</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Алтайский край – многонациональный регион, в нем проживает население, представленное более чем 140 национальностями. </w:t>
      </w:r>
      <w:r/>
    </w:p>
    <w:p>
      <w:pPr>
        <w:pStyle w:val="575"/>
        <w:ind w:firstLine="709"/>
        <w:jc w:val="center"/>
        <w:spacing w:after="0" w:afterAutospacing="0" w:before="0" w:beforeAutospacing="0"/>
        <w:shd w:val="clear" w:color="auto" w:fill="FFFFFF"/>
        <w:rPr>
          <w:rFonts w:ascii="Cambria" w:hAnsi="Cambria" w:eastAsia="Calibri"/>
        </w:rPr>
      </w:pPr>
      <w:r>
        <w:rPr>
          <w:rFonts w:ascii="Cambria" w:hAnsi="Cambria" w:eastAsia="Calibri"/>
        </w:rPr>
      </w:r>
      <w:r/>
    </w:p>
    <w:p>
      <w:pPr>
        <w:pStyle w:val="575"/>
        <w:ind w:firstLine="709"/>
        <w:jc w:val="center"/>
        <w:spacing w:after="0" w:afterAutospacing="0" w:before="0" w:beforeAutospacing="0"/>
        <w:shd w:val="clear" w:color="auto" w:fill="FFFFFF"/>
        <w:rPr>
          <w:rFonts w:ascii="Cambria" w:hAnsi="Cambria" w:eastAsia="Calibri"/>
          <w:b/>
          <w:lang w:eastAsia="en-US"/>
        </w:rPr>
      </w:pPr>
      <w:r>
        <w:rPr>
          <w:rFonts w:ascii="Cambria" w:hAnsi="Cambria" w:eastAsia="Calibri"/>
          <w:b/>
          <w:lang w:eastAsia="en-US"/>
        </w:rPr>
        <w:t xml:space="preserve">ИСТОРИЯ</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Во второй половине XVIII века образован Алтайский горный округ, включавший в состав территории, на которых расположены современные Алтайский край, Новосибирская и Кемеровская, часть Томской и Восточно-Казахстанской областей. </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В 1917 году образована Алтайская губерния с ц</w:t>
      </w:r>
      <w:r>
        <w:rPr>
          <w:rFonts w:ascii="Cambria" w:hAnsi="Cambria" w:eastAsia="Calibri"/>
          <w:lang w:eastAsia="en-US"/>
        </w:rPr>
        <w:t xml:space="preserve">ентром в г. Барнауле. С 1925 года по 1937 год территория Алтайской губернии входила в Западно-Сибирский край, в 1937 году образован Алтайский край. В его состав вошли Ойротская (7 января 1948 года переименована в Горно-Алтайскую) автономная область, г. Бар</w:t>
      </w:r>
      <w:r>
        <w:rPr>
          <w:rFonts w:ascii="Cambria" w:hAnsi="Cambria" w:eastAsia="Calibri"/>
          <w:lang w:eastAsia="en-US"/>
        </w:rPr>
        <w:t xml:space="preserve">наул и 55 районов Западно-Сибирского края. В соответствии с решением Верховного Совета Российской Федерации от 3 июля 1991 года Горно-Алтайская автономная область, к тому времени преобразованная в Республику Горный Алтай, вышла из состава Алтайского края. </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t xml:space="preserve">По состоянию на 01 января 2023 года на территории Алтайского края располагаются 9 городов краевого значения, 3 города районного значения, 1 закрытое административно-территориальное образование и 59 сельских районов.</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r>
      <w:r/>
    </w:p>
    <w:p>
      <w:pPr>
        <w:ind w:firstLine="709"/>
        <w:spacing w:lineRule="auto" w:line="240" w:after="0"/>
        <w:shd w:val="clear" w:color="auto" w:fill="FFFFFF"/>
        <w:rPr>
          <w:rFonts w:ascii="Cambria" w:hAnsi="Cambria" w:cs="Times New Roman" w:eastAsia="Times New Roman"/>
          <w:b/>
          <w:color w:val="000000"/>
          <w:sz w:val="24"/>
          <w:szCs w:val="24"/>
          <w:lang w:eastAsia="ru-RU"/>
        </w:rPr>
      </w:pPr>
      <w:r>
        <w:rPr>
          <w:rFonts w:ascii="Cambria" w:hAnsi="Cambria" w:cs="Times New Roman" w:eastAsia="Times New Roman"/>
          <w:b/>
          <w:color w:val="000000"/>
          <w:sz w:val="24"/>
          <w:szCs w:val="24"/>
          <w:lang w:eastAsia="ru-RU"/>
        </w:rPr>
      </w:r>
      <w:r/>
    </w:p>
    <w:p>
      <w:pPr>
        <w:ind w:firstLine="709"/>
        <w:spacing w:lineRule="auto" w:line="240" w:after="0"/>
        <w:shd w:val="clear" w:color="auto" w:fill="FFFFFF"/>
        <w:rPr>
          <w:rFonts w:ascii="Cambria" w:hAnsi="Cambria" w:cs="Times New Roman" w:eastAsia="Times New Roman"/>
          <w:b/>
          <w:color w:val="000000"/>
          <w:sz w:val="24"/>
          <w:szCs w:val="24"/>
          <w:lang w:eastAsia="ru-RU"/>
        </w:rPr>
      </w:pPr>
      <w:r>
        <w:rPr>
          <w:rFonts w:ascii="Cambria" w:hAnsi="Cambria" w:cs="Times New Roman" w:eastAsia="Times New Roman"/>
          <w:b/>
          <w:color w:val="000000"/>
          <w:sz w:val="24"/>
          <w:szCs w:val="24"/>
          <w:lang w:eastAsia="ru-RU"/>
        </w:rPr>
      </w:r>
      <w:r/>
    </w:p>
    <w:p>
      <w:pPr>
        <w:ind w:firstLine="709"/>
        <w:spacing w:lineRule="auto" w:line="240" w:after="0"/>
        <w:shd w:val="clear" w:color="auto" w:fill="FFFFFF"/>
        <w:rPr>
          <w:rFonts w:ascii="Cambria" w:hAnsi="Cambria" w:cs="Times New Roman" w:eastAsia="Times New Roman"/>
          <w:b/>
          <w:color w:val="000000"/>
          <w:sz w:val="24"/>
          <w:szCs w:val="24"/>
          <w:lang w:eastAsia="ru-RU"/>
        </w:rPr>
      </w:pPr>
      <w:r>
        <w:rPr>
          <w:rFonts w:ascii="Cambria" w:hAnsi="Cambria" w:cs="Times New Roman" w:eastAsia="Times New Roman"/>
          <w:b/>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b/>
          <w:color w:val="000000"/>
          <w:sz w:val="24"/>
          <w:szCs w:val="24"/>
          <w:lang w:eastAsia="ru-RU"/>
        </w:rPr>
      </w:pPr>
      <w:r>
        <w:rPr>
          <w:rFonts w:ascii="Cambria" w:hAnsi="Cambria" w:cs="Times New Roman" w:eastAsia="Times New Roman"/>
          <w:b/>
          <w:color w:val="000000"/>
          <w:sz w:val="24"/>
          <w:szCs w:val="24"/>
          <w:lang w:eastAsia="ru-RU"/>
        </w:rPr>
        <w:t xml:space="preserve">ГЕРБ АЛТАЙСКОГО КРАЯ</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r>
      <w:r/>
    </w:p>
    <w:p>
      <w:pPr>
        <w:pStyle w:val="575"/>
        <w:ind w:firstLine="709"/>
        <w:jc w:val="both"/>
        <w:spacing w:after="0" w:afterAutospacing="0" w:before="0" w:beforeAutospacing="0"/>
        <w:shd w:val="clear" w:color="auto" w:fill="FFFFFF"/>
        <w:rPr>
          <w:rFonts w:ascii="Cambria" w:hAnsi="Cambria"/>
          <w:color w:val="000000"/>
          <w:shd w:val="clear" w:color="auto" w:fill="FFFFFF"/>
        </w:rPr>
      </w:pPr>
      <w:r>
        <w:rPr>
          <w:rFonts w:ascii="Cambria" w:hAnsi="Cambria"/>
          <w:color w:val="000000"/>
          <w:shd w:val="clear" w:color="auto" w:fill="FFFFFF"/>
        </w:rPr>
        <w:t xml:space="preserve">Закон «О гербе Алтайского края» принят 25 мая 2000 года сессией Краевого Совета народных депутатов. Законом определены места воспроизведения герба (в частности, на административных зданиях, первой странице газеты «Алтайская правда», тр</w:t>
      </w:r>
      <w:r>
        <w:rPr>
          <w:rFonts w:ascii="Cambria" w:hAnsi="Cambria"/>
          <w:color w:val="000000"/>
          <w:shd w:val="clear" w:color="auto" w:fill="FFFFFF"/>
        </w:rPr>
        <w:t xml:space="preserve">анспортных средствах милиции, общественной безопасности и др.), права использования изображения герба края в коммерческих целях, порядок регистрации, хранение и экспозиция его эталонов, а также ответственность за нарушения Закона «О гербе Алтайского края».</w:t>
      </w:r>
      <w:r/>
    </w:p>
    <w:p>
      <w:pPr>
        <w:pStyle w:val="575"/>
        <w:ind w:firstLine="709"/>
        <w:jc w:val="center"/>
        <w:spacing w:after="0" w:afterAutospacing="0" w:before="0" w:beforeAutospacing="0"/>
        <w:shd w:val="clear" w:color="auto" w:fill="FFFFFF"/>
        <w:rPr>
          <w:rStyle w:val="574"/>
          <w:rFonts w:ascii="Cambria" w:hAnsi="Cambria"/>
          <w:color w:val="000000"/>
        </w:rPr>
      </w:pPr>
      <w:r>
        <w:rPr>
          <w:rFonts w:ascii="Cambria" w:hAnsi="Cambria"/>
          <w:b/>
          <w:bCs/>
          <w:color w:val="000000"/>
        </w:rPr>
      </w:r>
      <w:r>
        <w:rPr>
          <w:rFonts w:ascii="Cambria" w:hAnsi="Cambria"/>
          <w:b/>
          <w:bCs/>
          <w:color w:val="000000"/>
        </w:rPr>
        <mc:AlternateContent>
          <mc:Choice Requires="wpg">
            <w:drawing>
              <wp:inline xmlns:wp="http://schemas.openxmlformats.org/drawingml/2006/wordprocessingDrawing" distT="0" distB="0" distL="0" distR="0">
                <wp:extent cx="1752600" cy="1895475"/>
                <wp:effectExtent l="0" t="0" r="0" b="0"/>
                <wp:docPr id="3" name="" hidden="false"/>
                <wp:cNvGraphicFramePr/>
                <a:graphic xmlns:a="http://schemas.openxmlformats.org/drawingml/2006/main">
                  <a:graphicData uri="http://schemas.openxmlformats.org/drawingml/2006/picture">
                    <pic:pic xmlns:pic="http://schemas.openxmlformats.org/drawingml/2006/picture">
                      <pic:nvPicPr>
                        <pic:cNvPr id="6" name="" hidden="0"/>
                        <pic:cNvPicPr/>
                      </pic:nvPicPr>
                      <pic:blipFill>
                        <a:blip r:embed="rId12"/>
                        <a:stretch/>
                      </pic:blipFill>
                      <pic:spPr bwMode="auto">
                        <a:xfrm>
                          <a:off x="0" y="0"/>
                          <a:ext cx="1752599" cy="1895474"/>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38.0pt;height:149.2pt;">
                <v:path textboxrect="0,0,0,0"/>
                <v:imagedata r:id="rId12" o:title=""/>
              </v:shape>
            </w:pict>
          </mc:Fallback>
        </mc:AlternateContent>
      </w:r>
      <w:r/>
    </w:p>
    <w:p>
      <w:pPr>
        <w:pStyle w:val="575"/>
        <w:ind w:firstLine="709"/>
        <w:jc w:val="both"/>
        <w:spacing w:after="0" w:afterAutospacing="0" w:before="0" w:beforeAutospacing="0"/>
        <w:shd w:val="clear" w:color="auto" w:fill="FFFFFF"/>
        <w:rPr>
          <w:rStyle w:val="574"/>
          <w:rFonts w:ascii="Cambria" w:hAnsi="Cambria"/>
          <w:b w:val="false"/>
          <w:color w:val="000000"/>
        </w:rPr>
      </w:pPr>
      <w:r>
        <w:rPr>
          <w:rFonts w:ascii="Cambria" w:hAnsi="Cambria"/>
          <w:b w:val="false"/>
          <w:color w:val="000000"/>
        </w:rPr>
      </w:r>
      <w:r/>
    </w:p>
    <w:p>
      <w:pPr>
        <w:pStyle w:val="575"/>
        <w:ind w:firstLine="709"/>
        <w:jc w:val="both"/>
        <w:spacing w:after="0" w:afterAutospacing="0" w:before="0" w:beforeAutospacing="0"/>
        <w:shd w:val="clear" w:color="auto" w:fill="FFFFFF"/>
        <w:rPr>
          <w:rFonts w:ascii="Cambria" w:hAnsi="Cambria"/>
          <w:b/>
          <w:color w:val="000000"/>
        </w:rPr>
      </w:pPr>
      <w:r>
        <w:rPr>
          <w:rStyle w:val="574"/>
          <w:rFonts w:ascii="Cambria" w:hAnsi="Cambria"/>
          <w:b w:val="false"/>
          <w:color w:val="000000"/>
        </w:rPr>
        <w:t xml:space="preserve">Описание герба: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Герб края представляет собой щит французской гераль</w:t>
      </w:r>
      <w:r>
        <w:rPr>
          <w:rFonts w:ascii="Cambria" w:hAnsi="Cambria"/>
          <w:color w:val="000000"/>
        </w:rPr>
        <w:t xml:space="preserve">дической формы, основание которого равно восьми девятым высоты, с выступающим в середине нижней части щита острием. Нижние углы щита закруглены. Щит разделен горизонтальной полосой на две равные части. В верхней части герба на лазоревом фоне, символизирующ</w:t>
      </w:r>
      <w:r>
        <w:rPr>
          <w:rFonts w:ascii="Cambria" w:hAnsi="Cambria"/>
          <w:color w:val="000000"/>
        </w:rPr>
        <w:t xml:space="preserve">ем величие, изображена дымящаяся доменная печь XVIII века -  как отражение исторического прошлого Алтайского края. В нижней части герба на красном (червленом) фоне, символизирующем достоинство, храбрость и мужество, помещено изображение колыванской «Царицы</w:t>
      </w:r>
      <w:r>
        <w:rPr>
          <w:rFonts w:ascii="Cambria" w:hAnsi="Cambria"/>
          <w:color w:val="000000"/>
        </w:rPr>
        <w:t xml:space="preserve"> ваз» (яшма с преобладанием зеленого цвета), которая хранится в Государственном Эрмитаже. Щит герба обрамлен венком золотых колосьев пшеницы, олицетворяющих сельское хозяйство - как ведущую отрасль экономики Алтайского края. Венок перевит лазоревой лентой.</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r>
      <w:r/>
    </w:p>
    <w:p>
      <w:pPr>
        <w:pStyle w:val="562"/>
        <w:ind w:firstLine="709"/>
        <w:jc w:val="center"/>
        <w:spacing w:after="0" w:afterAutospacing="0" w:before="0" w:beforeAutospacing="0"/>
        <w:shd w:val="clear" w:color="auto" w:fill="FFFFFF"/>
        <w:rPr>
          <w:rFonts w:ascii="Cambria" w:hAnsi="Cambria"/>
          <w:bCs w:val="false"/>
          <w:color w:val="000000"/>
          <w:sz w:val="24"/>
          <w:szCs w:val="24"/>
        </w:rPr>
      </w:pPr>
      <w:r>
        <w:rPr>
          <w:rFonts w:ascii="Cambria" w:hAnsi="Cambria"/>
          <w:bCs w:val="false"/>
          <w:color w:val="000000"/>
          <w:sz w:val="24"/>
          <w:szCs w:val="24"/>
        </w:rPr>
        <w:t xml:space="preserve">ФЛАГ АЛТАЙСКОГО КРАЯ</w:t>
      </w:r>
      <w:r/>
    </w:p>
    <w:p>
      <w:pPr>
        <w:pStyle w:val="575"/>
        <w:ind w:firstLine="709"/>
        <w:jc w:val="both"/>
        <w:spacing w:after="0" w:afterAutospacing="0" w:before="0" w:beforeAutospacing="0"/>
        <w:shd w:val="clear" w:color="auto" w:fill="FFFFFF"/>
        <w:rPr>
          <w:rFonts w:ascii="Cambria" w:hAnsi="Cambria" w:eastAsia="Calibri"/>
          <w:lang w:eastAsia="en-US"/>
        </w:rPr>
      </w:pPr>
      <w:r>
        <w:rPr>
          <w:rFonts w:ascii="Cambria" w:hAnsi="Cambria" w:eastAsia="Calibri"/>
          <w:lang w:eastAsia="en-US"/>
        </w:rPr>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Закон «О флаге Алтайского края» принят 29 июня 2000 года сессией Краевого Совета народных депутатов.</w:t>
      </w:r>
      <w:r/>
    </w:p>
    <w:p>
      <w:pPr>
        <w:pStyle w:val="575"/>
        <w:ind w:firstLine="709"/>
        <w:jc w:val="center"/>
        <w:spacing w:after="0" w:afterAutospacing="0" w:before="0" w:beforeAutospacing="0"/>
        <w:shd w:val="clear" w:color="auto" w:fill="FFFFFF"/>
        <w:rPr>
          <w:rStyle w:val="574"/>
          <w:rFonts w:ascii="Cambria" w:hAnsi="Cambria"/>
          <w:color w:val="000000"/>
        </w:rPr>
      </w:pPr>
      <w:r>
        <w:rPr>
          <w:rFonts w:ascii="Cambria" w:hAnsi="Cambria"/>
          <w:b/>
          <w:bCs/>
          <w:color w:val="000000"/>
        </w:rPr>
      </w:r>
      <w:r>
        <w:rPr>
          <w:rFonts w:ascii="Cambria" w:hAnsi="Cambria"/>
          <w:b/>
          <w:bCs/>
          <w:color w:val="000000"/>
        </w:rPr>
        <mc:AlternateContent>
          <mc:Choice Requires="wpg">
            <w:drawing>
              <wp:inline xmlns:wp="http://schemas.openxmlformats.org/drawingml/2006/wordprocessingDrawing" distT="0" distB="0" distL="0" distR="0">
                <wp:extent cx="2009775" cy="1362075"/>
                <wp:effectExtent l="0" t="0" r="0" b="0"/>
                <wp:docPr id="4" name="" hidden="false"/>
                <wp:cNvGraphicFramePr/>
                <a:graphic xmlns:a="http://schemas.openxmlformats.org/drawingml/2006/main">
                  <a:graphicData uri="http://schemas.openxmlformats.org/drawingml/2006/picture">
                    <pic:pic xmlns:pic="http://schemas.openxmlformats.org/drawingml/2006/picture">
                      <pic:nvPicPr>
                        <pic:cNvPr id="7" name="" hidden="0"/>
                        <pic:cNvPicPr/>
                      </pic:nvPicPr>
                      <pic:blipFill>
                        <a:blip r:embed="rId13"/>
                        <a:stretch/>
                      </pic:blipFill>
                      <pic:spPr bwMode="auto">
                        <a:xfrm>
                          <a:off x="0" y="0"/>
                          <a:ext cx="2009775" cy="13620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58.2pt;height:107.2pt;">
                <v:path textboxrect="0,0,0,0"/>
                <v:imagedata r:id="rId13" o:title=""/>
              </v:shape>
            </w:pict>
          </mc:Fallback>
        </mc:AlternateContent>
      </w:r>
      <w:r/>
    </w:p>
    <w:p>
      <w:pPr>
        <w:pStyle w:val="575"/>
        <w:ind w:firstLine="709"/>
        <w:jc w:val="both"/>
        <w:spacing w:after="0" w:afterAutospacing="0" w:before="0" w:beforeAutospacing="0"/>
        <w:shd w:val="clear" w:color="auto" w:fill="FFFFFF"/>
        <w:rPr>
          <w:rFonts w:ascii="Cambria" w:hAnsi="Cambria"/>
          <w:b/>
          <w:color w:val="000000"/>
        </w:rPr>
      </w:pPr>
      <w:r>
        <w:rPr>
          <w:rStyle w:val="574"/>
          <w:rFonts w:ascii="Cambria" w:hAnsi="Cambria"/>
          <w:b w:val="false"/>
          <w:color w:val="000000"/>
        </w:rPr>
        <w:t xml:space="preserve">Описание флага: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Фла</w:t>
      </w:r>
      <w:r>
        <w:rPr>
          <w:rFonts w:ascii="Cambria" w:hAnsi="Cambria"/>
          <w:color w:val="000000"/>
        </w:rPr>
        <w:t xml:space="preserve">г Алтайского края представляет собой полотнище красного цвета с полосой синего цвета у древка и стилизованным изображением на этой полосе колоса желтого цвета как символа сельского хозяйства. В центре флага воспроизведено изображение герба Алтайского края.</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r>
      <w:r/>
    </w:p>
    <w:p>
      <w:pPr>
        <w:jc w:val="center"/>
        <w:spacing w:after="0"/>
        <w:rPr>
          <w:rFonts w:ascii="Cambria" w:hAnsi="Cambria"/>
          <w:b/>
          <w:bCs/>
          <w:color w:val="0070C0"/>
          <w:sz w:val="38"/>
          <w:szCs w:val="38"/>
        </w:rPr>
      </w:pPr>
      <w:r>
        <w:rPr>
          <w:rFonts w:ascii="Cambria" w:hAnsi="Cambria" w:cs="Times New Roman"/>
          <w:b/>
          <w:sz w:val="24"/>
          <w:szCs w:val="24"/>
        </w:rPr>
        <w:br w:type="page"/>
      </w:r>
      <w:r>
        <w:rPr>
          <w:rFonts w:ascii="Cambria" w:hAnsi="Cambria"/>
          <w:color w:val="0070C0"/>
          <w:sz w:val="38"/>
          <w:szCs w:val="38"/>
        </w:rPr>
        <w:t xml:space="preserve">Памятка для иностранных граждан о прохождении военной службы в Вооруженных Силах Российской </w:t>
      </w:r>
      <w:r>
        <w:rPr>
          <w:rFonts w:ascii="Cambria" w:hAnsi="Cambria"/>
          <w:color w:val="0070C0"/>
          <w:sz w:val="38"/>
          <w:szCs w:val="38"/>
        </w:rPr>
        <w:br/>
        <w:t xml:space="preserve">Федерации по контракту</w:t>
      </w:r>
      <w:r/>
    </w:p>
    <w:p>
      <w:pPr>
        <w:pStyle w:val="562"/>
        <w:jc w:val="center"/>
        <w:spacing w:after="0" w:afterAutospacing="0" w:before="0" w:beforeAutospacing="0"/>
        <w:shd w:val="clear" w:color="auto" w:fill="FFFFFF"/>
        <w:rPr>
          <w:rFonts w:ascii="Verdana" w:hAnsi="Verdana"/>
          <w:b w:val="false"/>
          <w:bCs w:val="false"/>
          <w:color w:val="000000"/>
          <w:sz w:val="38"/>
          <w:szCs w:val="38"/>
        </w:rPr>
      </w:pPr>
      <w:r>
        <w:rPr>
          <w:rFonts w:ascii="Verdana" w:hAnsi="Verdana"/>
          <w:b w:val="false"/>
          <w:bCs w:val="false"/>
          <w:color w:val="000000"/>
          <w:sz w:val="38"/>
          <w:szCs w:val="38"/>
        </w:rPr>
      </w:r>
      <w:r/>
    </w:p>
    <w:p>
      <w:pPr>
        <w:ind w:firstLine="709"/>
        <w:jc w:val="center"/>
        <w:spacing w:lineRule="auto" w:line="240" w:after="0"/>
        <w:rPr>
          <w:rFonts w:ascii="Cambria" w:hAnsi="Cambria" w:cs="Times New Roman" w:eastAsia="Times New Roman"/>
          <w:sz w:val="24"/>
          <w:szCs w:val="24"/>
          <w:lang w:eastAsia="ru-RU"/>
        </w:rPr>
      </w:pPr>
      <w:r>
        <w:rPr>
          <w:rFonts w:ascii="Cambria" w:hAnsi="Cambria" w:cs="Times New Roman" w:eastAsia="Times New Roman"/>
          <w:i/>
          <w:iCs/>
          <w:color w:val="000000"/>
          <w:sz w:val="24"/>
          <w:szCs w:val="24"/>
          <w:shd w:val="clear" w:color="auto" w:fill="FFFFFF"/>
          <w:lang w:eastAsia="ru-RU"/>
        </w:rPr>
        <w:t xml:space="preserve">Во исполнение Указа Президента Российской Федерации от 15 мая 2023 г. № 350 «О внесении изменений в Указ Президента Российской Федерации от 30 сентября 2022 г. № 690 «О приеме в гражданство Российской Федерации в упрощенном порядке иностран</w:t>
      </w:r>
      <w:r>
        <w:rPr>
          <w:rFonts w:ascii="Cambria" w:hAnsi="Cambria" w:cs="Times New Roman" w:eastAsia="Times New Roman"/>
          <w:i/>
          <w:iCs/>
          <w:color w:val="000000"/>
          <w:sz w:val="24"/>
          <w:szCs w:val="24"/>
          <w:shd w:val="clear" w:color="auto" w:fill="FFFFFF"/>
          <w:lang w:eastAsia="ru-RU"/>
        </w:rPr>
        <w:t xml:space="preserve">ных граждан и лиц без гражданства, заключивших контракты о прохождении военной службы» утвержден порядок получения гражданства Российской Федерации иностранными гражданами, и приняты соответствующие нормативно-правовые документы, регулирующие данную сферу.</w:t>
      </w:r>
      <w:r>
        <w:rPr>
          <w:rFonts w:ascii="Cambria" w:hAnsi="Cambria" w:cs="Times New Roman" w:eastAsia="Times New Roman"/>
          <w:color w:val="000000"/>
          <w:sz w:val="24"/>
          <w:szCs w:val="24"/>
          <w:lang w:eastAsia="ru-RU"/>
        </w:rPr>
        <w:br/>
      </w:r>
      <w:r>
        <w:rPr>
          <w:rFonts w:ascii="Cambria" w:hAnsi="Cambria" w:cs="Times New Roman" w:eastAsia="Times New Roman"/>
          <w:color w:val="000000"/>
          <w:sz w:val="24"/>
          <w:szCs w:val="24"/>
          <w:lang w:eastAsia="ru-RU"/>
        </w:rPr>
        <w:br/>
      </w:r>
      <w:r>
        <w:rPr>
          <w:rFonts w:ascii="Cambria" w:hAnsi="Cambria" w:cs="Times New Roman" w:eastAsia="Times New Roman"/>
          <w:color w:val="000000"/>
          <w:sz w:val="24"/>
          <w:szCs w:val="24"/>
          <w:shd w:val="clear" w:color="auto" w:fill="FFFFFF"/>
          <w:lang w:eastAsia="ru-RU"/>
        </w:rPr>
        <w:t xml:space="preserve">Иностранным гражданам и россиянам предоставляются одинаковые социальные гарантии военнослужащих. Иностранный гражданин имеет право з</w:t>
      </w:r>
      <w:r>
        <w:rPr>
          <w:rFonts w:ascii="Cambria" w:hAnsi="Cambria" w:cs="Times New Roman" w:eastAsia="Times New Roman"/>
          <w:color w:val="000000"/>
          <w:sz w:val="24"/>
          <w:szCs w:val="24"/>
          <w:shd w:val="clear" w:color="auto" w:fill="FFFFFF"/>
          <w:lang w:eastAsia="ru-RU"/>
        </w:rPr>
        <w:t xml:space="preserve">аключить контракт о прохождении военной службы в Вооруженных Силах Российской Федерации сроком не менее чем на один год. Во время прохождения службы на него распространяются все социальные гарантии, выплаты и льготы, как на гражданина Российской Федерации.</w:t>
      </w:r>
      <w:r>
        <w:rPr>
          <w:rFonts w:ascii="Cambria" w:hAnsi="Cambria" w:cs="Times New Roman" w:eastAsia="Times New Roman"/>
          <w:color w:val="000000"/>
          <w:sz w:val="24"/>
          <w:szCs w:val="24"/>
          <w:lang w:eastAsia="ru-RU"/>
        </w:rPr>
        <w:br/>
      </w:r>
      <w:r>
        <w:rPr>
          <w:rFonts w:ascii="Cambria" w:hAnsi="Cambria" w:cs="Times New Roman" w:eastAsia="Times New Roman"/>
          <w:color w:val="000000"/>
          <w:sz w:val="24"/>
          <w:szCs w:val="24"/>
          <w:lang w:eastAsia="ru-RU"/>
        </w:rPr>
        <w:br/>
      </w:r>
      <w:r>
        <w:rPr>
          <w:rFonts w:ascii="Cambria" w:hAnsi="Cambria" w:cs="Times New Roman" w:eastAsia="Times New Roman"/>
          <w:color w:val="000000"/>
          <w:sz w:val="24"/>
          <w:szCs w:val="24"/>
          <w:shd w:val="clear" w:color="auto" w:fill="FFFFFF"/>
          <w:lang w:eastAsia="ru-RU"/>
        </w:rPr>
        <w:t xml:space="preserve">Кроме того, подписав контракт, иностранный гражданин, его супруга, дети и родители имеют право на получение российского гражданства в упрощенном порядке, без необходимости непрерывного проживания на территории Российской Федерации в течение пяти лет.</w:t>
      </w:r>
      <w:r>
        <w:rPr>
          <w:rFonts w:ascii="Cambria" w:hAnsi="Cambria" w:cs="Times New Roman" w:eastAsia="Times New Roman"/>
          <w:color w:val="000000"/>
          <w:sz w:val="24"/>
          <w:szCs w:val="24"/>
          <w:lang w:eastAsia="ru-RU"/>
        </w:rPr>
        <w:br/>
      </w:r>
      <w:r>
        <w:rPr>
          <w:rFonts w:ascii="Cambria" w:hAnsi="Cambria" w:cs="Times New Roman" w:eastAsia="Times New Roman"/>
          <w:color w:val="000000"/>
          <w:sz w:val="24"/>
          <w:szCs w:val="24"/>
          <w:lang w:eastAsia="ru-RU"/>
        </w:rPr>
        <w:br/>
      </w:r>
      <w:r>
        <w:rPr>
          <w:rFonts w:ascii="Cambria" w:hAnsi="Cambria" w:cs="Times New Roman" w:eastAsia="Times New Roman"/>
          <w:b/>
          <w:bCs/>
          <w:color w:val="0070C0"/>
          <w:sz w:val="24"/>
          <w:szCs w:val="24"/>
          <w:shd w:val="clear" w:color="auto" w:fill="FFFFFF"/>
          <w:lang w:eastAsia="ru-RU"/>
        </w:rPr>
        <w:t xml:space="preserve">Денежные выплаты и льготы</w:t>
      </w:r>
      <w:r>
        <w:rPr>
          <w:rFonts w:ascii="Cambria" w:hAnsi="Cambria" w:cs="Times New Roman" w:eastAsia="Times New Roman"/>
          <w:color w:val="000000"/>
          <w:sz w:val="24"/>
          <w:szCs w:val="24"/>
          <w:lang w:eastAsia="ru-RU"/>
        </w:rPr>
        <w:b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Единовременная выплата при заключении контракта составляет 195,0 тыс. руб.;</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 учебном центре ежемесячно (в зависимости от воинского звания, должности и выслуги лет)от 30,0 тыс. руб. в месяц;</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денежное довольствие в зоне специальной военной операции: от 204,0 тыс. руб. в месяц (в зависимости от воинского звания, должности и выслуги лет);</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суточные (8,0 тыс. руб.), премиальные (от 50,0 тыс. до 1,0 млн. руб.) </w:t>
      </w:r>
      <w:r>
        <w:rPr>
          <w:rFonts w:ascii="Cambria" w:hAnsi="Cambria" w:cs="Times New Roman" w:eastAsia="Times New Roman"/>
          <w:color w:val="000000"/>
          <w:sz w:val="24"/>
          <w:szCs w:val="24"/>
          <w:lang w:eastAsia="ru-RU"/>
        </w:rPr>
        <w:br/>
        <w:t xml:space="preserve">и иные выплаты;</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региональная денежная выплата 100, 0 тыс. рублей единовременно.</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rPr>
          <w:rFonts w:ascii="Cambria" w:hAnsi="Cambria" w:cs="Times New Roman" w:eastAsia="Times New Roman"/>
          <w:sz w:val="24"/>
          <w:szCs w:val="24"/>
          <w:lang w:eastAsia="ru-RU"/>
        </w:rPr>
      </w:pPr>
      <w:r>
        <w:rPr>
          <w:rFonts w:ascii="Cambria" w:hAnsi="Cambria" w:cs="Times New Roman" w:eastAsia="Times New Roman"/>
          <w:b/>
          <w:bCs/>
          <w:color w:val="0070C0"/>
          <w:sz w:val="24"/>
          <w:szCs w:val="24"/>
          <w:shd w:val="clear" w:color="auto" w:fill="FFFFFF"/>
          <w:lang w:eastAsia="ru-RU"/>
        </w:rPr>
        <w:t xml:space="preserve">Статус ветерана боевых действий и соответствующие льготы</w:t>
      </w:r>
      <w:r>
        <w:rPr>
          <w:rFonts w:ascii="Cambria" w:hAnsi="Cambria" w:cs="Times New Roman" w:eastAsia="Times New Roman"/>
          <w:color w:val="000000"/>
          <w:sz w:val="24"/>
          <w:szCs w:val="24"/>
          <w:lang w:eastAsia="ru-RU"/>
        </w:rPr>
        <w:br/>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После получения гражданства Российской Федерации, военнослужащие на период военной службы обеспечиваются служебным жилым помещением либо им выплачивается денежная компенсация за найм жилья в разме</w:t>
      </w:r>
      <w:r>
        <w:rPr>
          <w:rFonts w:ascii="Cambria" w:hAnsi="Cambria" w:cs="Times New Roman" w:eastAsia="Times New Roman"/>
          <w:bCs/>
          <w:color w:val="000000" w:themeColor="text1"/>
          <w:sz w:val="24"/>
          <w:szCs w:val="24"/>
          <w:shd w:val="clear" w:color="auto" w:fill="FFFFFF"/>
          <w:lang w:eastAsia="ru-RU"/>
        </w:rPr>
        <w:t xml:space="preserve">ре фактических расходов. Н</w:t>
      </w:r>
      <w:r>
        <w:rPr>
          <w:rFonts w:ascii="Cambria" w:hAnsi="Cambria" w:cs="Times New Roman" w:eastAsia="Times New Roman"/>
          <w:bCs/>
          <w:color w:val="000000" w:themeColor="text1"/>
          <w:sz w:val="24"/>
          <w:szCs w:val="24"/>
          <w:shd w:val="clear" w:color="auto" w:fill="FFFFFF"/>
          <w:lang w:eastAsia="ru-RU"/>
        </w:rPr>
        <w:t xml:space="preserve">е менее чем через </w:t>
      </w:r>
      <w:r>
        <w:rPr>
          <w:rFonts w:ascii="Cambria" w:hAnsi="Cambria" w:cs="Times New Roman" w:eastAsia="Times New Roman"/>
          <w:bCs/>
          <w:color w:val="000000" w:themeColor="text1"/>
          <w:sz w:val="24"/>
          <w:szCs w:val="24"/>
          <w:shd w:val="clear" w:color="auto" w:fill="FFFFFF"/>
          <w:lang w:eastAsia="ru-RU"/>
        </w:rPr>
        <w:t xml:space="preserve">3</w:t>
      </w:r>
      <w:r>
        <w:rPr>
          <w:rFonts w:ascii="Cambria" w:hAnsi="Cambria" w:cs="Times New Roman" w:eastAsia="Times New Roman"/>
          <w:bCs/>
          <w:color w:val="000000" w:themeColor="text1"/>
          <w:sz w:val="24"/>
          <w:szCs w:val="24"/>
          <w:shd w:val="clear" w:color="auto" w:fill="FFFFFF"/>
          <w:lang w:eastAsia="ru-RU"/>
        </w:rPr>
        <w:t xml:space="preserve"> года службы (по контракту) военнослужащий приобретает право вступления в накопительно-ипотечную систему (военная ипотека).</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sz w:val="24"/>
          <w:szCs w:val="24"/>
          <w:shd w:val="clear" w:color="auto" w:fill="FFFFFF"/>
          <w:lang w:eastAsia="ru-RU"/>
        </w:rPr>
      </w:r>
      <w:r/>
    </w:p>
    <w:p>
      <w:pPr>
        <w:ind w:firstLine="709"/>
        <w:jc w:val="center"/>
        <w:spacing w:lineRule="auto" w:line="240" w:after="0"/>
        <w:rPr>
          <w:rFonts w:ascii="Cambria" w:hAnsi="Cambria" w:cs="Times New Roman" w:eastAsia="Times New Roman"/>
          <w:bCs/>
          <w:i/>
          <w:color w:val="000000"/>
          <w:sz w:val="24"/>
          <w:szCs w:val="24"/>
          <w:shd w:val="clear" w:color="auto" w:fill="FFFFFF"/>
          <w:lang w:eastAsia="ru-RU"/>
        </w:rPr>
      </w:pPr>
      <w:r>
        <w:rPr>
          <w:rFonts w:ascii="Cambria" w:hAnsi="Cambria" w:cs="Times New Roman" w:eastAsia="Times New Roman"/>
          <w:bCs/>
          <w:i/>
          <w:color w:val="000000" w:themeColor="text1"/>
          <w:sz w:val="24"/>
          <w:szCs w:val="24"/>
          <w:shd w:val="clear" w:color="auto" w:fill="FFFFFF"/>
          <w:lang w:eastAsia="ru-RU"/>
        </w:rPr>
        <w:t xml:space="preserve">Участникам специальной военной операции и членам их семей, ветеранам боевых действий дополнительно предоставляются следующие социальные гарантии:</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sz w:val="24"/>
          <w:szCs w:val="24"/>
          <w:shd w:val="clear" w:color="auto" w:fill="FFFFFF"/>
          <w:lang w:eastAsia="ru-RU"/>
        </w:rPr>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выплачивается ежемесячная денежная выплата порядка 4 тыс. руб</w:t>
      </w:r>
      <w:r>
        <w:rPr>
          <w:rFonts w:ascii="Cambria" w:hAnsi="Cambria" w:cs="Times New Roman" w:eastAsia="Times New Roman"/>
          <w:bCs/>
          <w:color w:val="000000" w:themeColor="text1"/>
          <w:sz w:val="24"/>
          <w:szCs w:val="24"/>
          <w:shd w:val="clear" w:color="auto" w:fill="FFFFFF"/>
          <w:lang w:eastAsia="ru-RU"/>
        </w:rPr>
        <w:t xml:space="preserve">.</w:t>
      </w:r>
      <w:r>
        <w:rPr>
          <w:rFonts w:ascii="Cambria" w:hAnsi="Cambria" w:cs="Times New Roman" w:eastAsia="Times New Roman"/>
          <w:bCs/>
          <w:color w:val="000000" w:themeColor="text1"/>
          <w:sz w:val="24"/>
          <w:szCs w:val="24"/>
          <w:shd w:val="clear" w:color="auto" w:fill="FFFFFF"/>
          <w:lang w:eastAsia="ru-RU"/>
        </w:rPr>
        <w:t xml:space="preserve">;</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размер пенсии увеличивается на 32% расчетного размера социальной пенсии;</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ветеран боевых действий имеет право на налоговую льготу;</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льготное обеспечение жильем;</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первоочередное право на приобретение садовых земельных участков;</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компенсация расходов на оплату жилых помещений (в размере 50%);</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преимущество при вступлении в жилищные, жилищно-строительные и </w:t>
      </w:r>
      <w:r>
        <w:rPr>
          <w:rFonts w:ascii="Cambria" w:hAnsi="Cambria" w:cs="Times New Roman" w:eastAsia="Times New Roman"/>
          <w:bCs/>
          <w:color w:val="000000" w:themeColor="text1"/>
          <w:sz w:val="24"/>
          <w:szCs w:val="24"/>
          <w:shd w:val="clear" w:color="auto" w:fill="FFFFFF"/>
          <w:lang w:eastAsia="ru-RU"/>
        </w:rPr>
        <w:br/>
        <w:t xml:space="preserve">гаражные кооперативы;</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ветераны боевых действий имеют право на прием на подготовительные </w:t>
      </w:r>
      <w:r>
        <w:rPr>
          <w:rFonts w:ascii="Cambria" w:hAnsi="Cambria" w:cs="Times New Roman" w:eastAsia="Times New Roman"/>
          <w:bCs/>
          <w:color w:val="000000" w:themeColor="text1"/>
          <w:sz w:val="24"/>
          <w:szCs w:val="24"/>
          <w:shd w:val="clear" w:color="auto" w:fill="FFFFFF"/>
          <w:lang w:eastAsia="ru-RU"/>
        </w:rPr>
        <w:br/>
        <w:t xml:space="preserve">отделения за счет бюджетных ассигнований;</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внеконкурсное поступление в высшие учебные заведения (в пределах квоты), в период обучения назначается государственная социальная стипендия;</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внеочередное приобретение билетов на все виды транспорта;</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преимущественное пользование всеми видами услуг учреждений связи, культурно-просветительских и спортивно-оздоровительных учреждений;</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поступившие после увольнения с военной службы на работу ветераны боевых действий имеют право пройти профессиональное обучение и дополнительное профессиональное образование за счет средств работодателя;</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предоставляются кредитные каникулы, т.е. военнослужащий может обратиться с заявлением о предоставлении отсрочек платежей и приостановлении исполнения судебных актов о возврате просроченной кредитной задолженности;</w:t>
      </w:r>
      <w:r/>
    </w:p>
    <w:p>
      <w:pPr>
        <w:ind w:firstLine="709"/>
        <w:jc w:val="center"/>
        <w:spacing w:lineRule="auto" w:line="240" w:after="0"/>
        <w:rPr>
          <w:rFonts w:ascii="Cambria" w:hAnsi="Cambria" w:cs="Times New Roman" w:eastAsia="Times New Roman"/>
          <w:bCs/>
          <w:color w:val="000000"/>
          <w:sz w:val="24"/>
          <w:szCs w:val="24"/>
          <w:shd w:val="clear" w:color="auto" w:fill="FFFFFF"/>
          <w:lang w:eastAsia="ru-RU"/>
        </w:rPr>
      </w:pPr>
      <w:r>
        <w:rPr>
          <w:rFonts w:ascii="Cambria" w:hAnsi="Cambria" w:cs="Times New Roman" w:eastAsia="Times New Roman"/>
          <w:bCs/>
          <w:color w:val="000000" w:themeColor="text1"/>
          <w:sz w:val="24"/>
          <w:szCs w:val="24"/>
          <w:shd w:val="clear" w:color="auto" w:fill="FFFFFF"/>
          <w:lang w:eastAsia="ru-RU"/>
        </w:rPr>
        <w:t xml:space="preserve">дети военнослужащих-участников специальной военной операции имеют право на первоочередное поступление в детские сады, школы, вузы, а также на бесплатный отдых в летних оздоровительных лагерях;</w:t>
      </w:r>
      <w:r>
        <w:rPr>
          <w:rFonts w:ascii="Cambria" w:hAnsi="Cambria" w:cs="Times New Roman" w:eastAsia="Times New Roman"/>
          <w:color w:val="000000" w:themeColor="text1"/>
          <w:sz w:val="24"/>
          <w:szCs w:val="24"/>
          <w:lang w:eastAsia="ru-RU"/>
        </w:rPr>
        <w:br/>
      </w:r>
      <w:r/>
    </w:p>
    <w:p>
      <w:pPr>
        <w:jc w:val="center"/>
        <w:spacing w:lineRule="auto" w:line="240" w:after="0"/>
        <w:rPr>
          <w:rFonts w:ascii="Cambria" w:hAnsi="Cambria" w:cs="Times New Roman" w:eastAsia="Times New Roman"/>
          <w:b/>
          <w:color w:val="0070C0"/>
          <w:sz w:val="24"/>
          <w:szCs w:val="24"/>
          <w:lang w:eastAsia="ru-RU"/>
        </w:rPr>
      </w:pPr>
      <w:r>
        <w:rPr>
          <w:rFonts w:ascii="Cambria" w:hAnsi="Cambria" w:cs="Times New Roman" w:eastAsia="Times New Roman"/>
          <w:b/>
          <w:bCs/>
          <w:color w:val="0070C0"/>
          <w:sz w:val="24"/>
          <w:szCs w:val="24"/>
          <w:shd w:val="clear" w:color="auto" w:fill="FFFFFF" w:themeFill="background1"/>
          <w:lang w:eastAsia="ru-RU"/>
        </w:rPr>
        <w:t xml:space="preserve">Требования к кандидатам:</w:t>
      </w:r>
      <w:r>
        <w:rPr>
          <w:rFonts w:ascii="Cambria" w:hAnsi="Cambria" w:cs="Times New Roman" w:eastAsia="Times New Roman"/>
          <w:color w:val="000000"/>
          <w:sz w:val="24"/>
          <w:szCs w:val="24"/>
          <w:lang w:eastAsia="ru-RU"/>
        </w:rPr>
      </w:r>
      <w:r/>
    </w:p>
    <w:p>
      <w:pPr>
        <w:jc w:val="center"/>
        <w:spacing w:lineRule="auto" w:line="240" w:after="0"/>
        <w:rPr>
          <w:rFonts w:ascii="Cambria" w:hAnsi="Cambria" w:cs="Times New Roman" w:eastAsia="Times New Roman"/>
          <w:sz w:val="24"/>
          <w:szCs w:val="24"/>
          <w:lang w:eastAsia="ru-RU"/>
        </w:rPr>
      </w:pPr>
      <w:r>
        <w:rPr>
          <w:rFonts w:ascii="Cambria" w:hAnsi="Cambria" w:cs="Times New Roman" w:eastAsia="Times New Roman"/>
          <w:b/>
          <w:bCs/>
          <w:color w:val="0070C0"/>
          <w:sz w:val="24"/>
          <w:szCs w:val="24"/>
          <w:shd w:val="clear" w:color="auto" w:fill="FFFFFF" w:themeFill="background1"/>
          <w:lang w:eastAsia="ru-RU"/>
        </w:rPr>
      </w:r>
      <w:r>
        <w:rPr>
          <w:rFonts w:ascii="Cambria" w:hAnsi="Cambria" w:cs="Times New Roman" w:eastAsia="Times New Roman"/>
          <w:b/>
          <w:bCs/>
          <w:color w:val="0070C0"/>
          <w:sz w:val="24"/>
          <w:szCs w:val="24"/>
          <w:shd w:val="clear" w:color="auto" w:fill="FFFFFF" w:themeFill="background1"/>
          <w:lang w:eastAsia="ru-RU"/>
        </w:rPr>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Возраст от 18 лет.</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Годность по состоянию здоровья.</w:t>
      </w:r>
      <w:r/>
    </w:p>
    <w:p>
      <w:pPr>
        <w:jc w:val="center"/>
        <w:spacing w:lineRule="auto" w:line="240" w:after="0"/>
        <w:shd w:val="clear" w:color="auto" w:fill="FFFFFF"/>
        <w:rPr>
          <w:rFonts w:ascii="Cambria" w:hAnsi="Cambria" w:cs="Times New Roman" w:eastAsia="Times New Roman"/>
          <w:color w:val="000000"/>
          <w:sz w:val="24"/>
          <w:szCs w:val="24"/>
          <w:lang w:eastAsia="ru-RU"/>
        </w:rPr>
      </w:pPr>
      <w:r>
        <w:t xml:space="preserve">К</w:t>
      </w:r>
      <w:r>
        <w:rPr>
          <w:rFonts w:ascii="Cambria" w:hAnsi="Cambria" w:cs="Times New Roman" w:eastAsia="Times New Roman"/>
          <w:color w:val="000000"/>
          <w:sz w:val="24"/>
          <w:szCs w:val="24"/>
          <w:lang w:eastAsia="ru-RU"/>
        </w:rPr>
        <w:t xml:space="preserve">онтракт </w:t>
      </w:r>
      <w:r>
        <w:rPr>
          <w:rFonts w:ascii="Cambria" w:hAnsi="Cambria" w:cs="Times New Roman" w:eastAsia="Times New Roman"/>
          <w:color w:val="000000"/>
          <w:sz w:val="24"/>
          <w:szCs w:val="24"/>
          <w:lang w:eastAsia="ru-RU"/>
        </w:rPr>
        <w:t xml:space="preserve">могут заключить лица в возрасте от</w:t>
      </w:r>
      <w:r>
        <w:rPr>
          <w:rFonts w:ascii="Cambria" w:hAnsi="Cambria" w:cs="Times New Roman" w:eastAsia="Times New Roman"/>
          <w:color w:val="000000"/>
          <w:sz w:val="24"/>
          <w:szCs w:val="24"/>
          <w:lang w:eastAsia="ru-RU"/>
        </w:rPr>
        <w:t xml:space="preserve"> 18 до 60 лет</w:t>
      </w:r>
      <w:r>
        <w:rPr>
          <w:rFonts w:ascii="Cambria" w:hAnsi="Cambria" w:cs="Times New Roman" w:eastAsia="Times New Roman"/>
          <w:color w:val="000000"/>
          <w:sz w:val="24"/>
          <w:szCs w:val="24"/>
          <w:lang w:eastAsia="ru-RU"/>
        </w:rPr>
        <w:t xml:space="preserve">.</w:t>
      </w:r>
      <w:r/>
    </w:p>
    <w:p>
      <w:pPr>
        <w:ind w:firstLine="709"/>
        <w:jc w:val="center"/>
        <w:spacing w:lineRule="auto" w:line="240" w:after="0"/>
        <w:rPr>
          <w:rFonts w:ascii="Cambria" w:hAnsi="Cambria" w:cs="Times New Roman" w:eastAsia="Times New Roman"/>
          <w:b/>
          <w:bCs/>
          <w:color w:val="1D5586"/>
          <w:sz w:val="24"/>
          <w:szCs w:val="24"/>
          <w:shd w:val="clear" w:color="auto" w:fill="FFFFFF"/>
          <w:lang w:eastAsia="ru-RU"/>
        </w:rPr>
      </w:pPr>
      <w:r>
        <w:rPr>
          <w:rFonts w:ascii="Cambria" w:hAnsi="Cambria" w:cs="Times New Roman" w:eastAsia="Times New Roman"/>
          <w:b/>
          <w:bCs/>
          <w:color w:val="1D5586"/>
          <w:sz w:val="24"/>
          <w:szCs w:val="24"/>
          <w:shd w:val="clear" w:color="auto" w:fill="FFFFFF"/>
          <w:lang w:eastAsia="ru-RU"/>
        </w:rPr>
      </w:r>
      <w:r/>
    </w:p>
    <w:p>
      <w:pPr>
        <w:jc w:val="center"/>
        <w:spacing w:lineRule="auto" w:line="240" w:after="0"/>
        <w:rPr>
          <w:rFonts w:ascii="Cambria" w:hAnsi="Cambria" w:cs="Times New Roman" w:eastAsia="Times New Roman"/>
          <w:color w:val="000000"/>
          <w:sz w:val="24"/>
          <w:szCs w:val="24"/>
          <w:lang w:eastAsia="ru-RU"/>
        </w:rPr>
      </w:pPr>
      <w:r>
        <w:rPr>
          <w:rFonts w:ascii="Cambria" w:hAnsi="Cambria" w:cs="Times New Roman" w:eastAsia="Times New Roman"/>
          <w:b/>
          <w:bCs/>
          <w:color w:val="0070C0"/>
          <w:sz w:val="24"/>
          <w:szCs w:val="24"/>
          <w:shd w:val="clear" w:color="auto" w:fill="FFFFFF"/>
          <w:lang w:eastAsia="ru-RU"/>
        </w:rPr>
        <w:t xml:space="preserve">Перечень документов</w:t>
      </w:r>
      <w:r>
        <w:rPr>
          <w:rFonts w:ascii="Cambria" w:hAnsi="Cambria" w:cs="Times New Roman" w:eastAsia="Times New Roman"/>
          <w:color w:val="000000"/>
          <w:sz w:val="24"/>
          <w:szCs w:val="24"/>
          <w:lang w:eastAsia="ru-RU"/>
        </w:rPr>
        <w:t xml:space="preserve">:</w:t>
      </w:r>
      <w:r/>
    </w:p>
    <w:p>
      <w:pPr>
        <w:jc w:val="center"/>
        <w:spacing w:lineRule="auto" w:line="240" w:after="0"/>
        <w:rPr>
          <w:rFonts w:ascii="Cambria" w:hAnsi="Cambria" w:cs="Times New Roman" w:eastAsia="Times New Roman"/>
          <w:sz w:val="24"/>
          <w:szCs w:val="24"/>
          <w:lang w:eastAsia="ru-RU"/>
        </w:rPr>
      </w:pPr>
      <w:r>
        <w:rPr>
          <w:rFonts w:ascii="Cambria" w:hAnsi="Cambria" w:cs="Times New Roman" w:eastAsia="Times New Roman"/>
          <w:color w:val="000000"/>
          <w:sz w:val="24"/>
          <w:szCs w:val="24"/>
          <w:lang w:eastAsia="ru-RU"/>
        </w:rPr>
      </w:r>
      <w:r>
        <w:rPr>
          <w:rFonts w:ascii="Cambria" w:hAnsi="Cambria" w:cs="Times New Roman" w:eastAsia="Times New Roman"/>
          <w:color w:val="000000"/>
          <w:sz w:val="24"/>
          <w:szCs w:val="24"/>
          <w:lang w:eastAsia="ru-RU"/>
        </w:rPr>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Автобиография и анкета (форма на сайте contract.mil.ru).</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Паспорт.</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Военный билет (при наличии).</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Свидетельство о браке и рождении детей (при наличии).</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Документы об образовании.</w:t>
      </w:r>
      <w:r>
        <w:rPr>
          <w:rFonts w:ascii="Cambria" w:hAnsi="Cambria" w:cs="Times New Roman" w:eastAsia="Times New Roman"/>
          <w:color w:val="000000"/>
          <w:sz w:val="24"/>
          <w:szCs w:val="24"/>
          <w:lang w:eastAsia="ru-RU"/>
        </w:rPr>
        <w:br/>
        <w:t xml:space="preserve">Контракт заключается на 1 год и более.</w:t>
      </w:r>
      <w:r/>
    </w:p>
    <w:p>
      <w:pPr>
        <w:spacing w:lineRule="auto" w:line="240" w:after="0"/>
        <w:rPr>
          <w:rFonts w:ascii="Cambria" w:hAnsi="Cambria" w:cs="Times New Roman" w:eastAsia="Times New Roman"/>
          <w:b/>
          <w:bCs/>
          <w:color w:val="1D5586"/>
          <w:sz w:val="24"/>
          <w:szCs w:val="24"/>
          <w:shd w:val="clear" w:color="auto" w:fill="FFFFFF"/>
          <w:lang w:eastAsia="ru-RU"/>
        </w:rPr>
      </w:pPr>
      <w:r>
        <w:rPr>
          <w:rFonts w:ascii="Cambria" w:hAnsi="Cambria" w:cs="Times New Roman" w:eastAsia="Times New Roman"/>
          <w:b/>
          <w:bCs/>
          <w:color w:val="1D5586"/>
          <w:sz w:val="24"/>
          <w:szCs w:val="24"/>
          <w:shd w:val="clear" w:color="auto" w:fill="FFFFFF"/>
          <w:lang w:eastAsia="ru-RU"/>
        </w:rPr>
      </w:r>
      <w:r/>
    </w:p>
    <w:p>
      <w:pPr>
        <w:jc w:val="center"/>
        <w:spacing w:lineRule="auto" w:line="240" w:after="0"/>
        <w:rPr>
          <w:rFonts w:ascii="Cambria" w:hAnsi="Cambria" w:cs="Times New Roman" w:eastAsia="Times New Roman"/>
          <w:color w:val="0070C0"/>
          <w:sz w:val="24"/>
          <w:szCs w:val="24"/>
        </w:rPr>
      </w:pPr>
      <w:r>
        <w:rPr>
          <w:rFonts w:ascii="Cambria" w:hAnsi="Cambria" w:cs="Times New Roman" w:eastAsia="Times New Roman"/>
          <w:b/>
          <w:bCs/>
          <w:color w:val="0070C0"/>
          <w:sz w:val="24"/>
          <w:szCs w:val="24"/>
          <w:shd w:val="clear" w:color="auto" w:fill="FFFFFF"/>
          <w:lang w:eastAsia="ru-RU"/>
        </w:rPr>
        <w:t xml:space="preserve">Контактные данные</w:t>
      </w:r>
      <w:r>
        <w:rPr>
          <w:rFonts w:ascii="Cambria" w:hAnsi="Cambria" w:cs="Times New Roman" w:eastAsia="Times New Roman"/>
          <w:color w:val="0070C0"/>
          <w:sz w:val="24"/>
          <w:szCs w:val="24"/>
          <w:lang w:eastAsia="ru-RU"/>
        </w:rPr>
        <w:t xml:space="preserve">:</w:t>
      </w:r>
      <w:r>
        <w:rPr>
          <w:color w:val="0070C0"/>
        </w:rPr>
      </w:r>
      <w:r/>
    </w:p>
    <w:p>
      <w:pPr>
        <w:jc w:val="center"/>
        <w:spacing w:lineRule="auto" w:line="240" w:after="0"/>
        <w:rPr>
          <w:rFonts w:ascii="Cambria" w:hAnsi="Cambria" w:cs="Times New Roman" w:eastAsia="Times New Roman"/>
          <w:sz w:val="24"/>
          <w:szCs w:val="24"/>
          <w:lang w:eastAsia="ru-RU"/>
        </w:rPr>
      </w:pPr>
      <w:r>
        <w:rPr>
          <w:rFonts w:ascii="Cambria" w:hAnsi="Cambria" w:cs="Times New Roman" w:eastAsia="Times New Roman"/>
          <w:color w:val="000000"/>
          <w:sz w:val="24"/>
          <w:szCs w:val="24"/>
          <w:lang w:eastAsia="ru-RU"/>
        </w:rPr>
      </w:r>
      <w:r>
        <w:rPr>
          <w:rFonts w:ascii="Cambria" w:hAnsi="Cambria" w:cs="Times New Roman" w:eastAsia="Times New Roman"/>
          <w:color w:val="000000"/>
          <w:sz w:val="24"/>
          <w:szCs w:val="24"/>
          <w:lang w:eastAsia="ru-RU"/>
        </w:rPr>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Пункт отбора на военную службу по ко</w:t>
      </w:r>
      <w:r>
        <w:rPr>
          <w:rFonts w:ascii="Cambria" w:hAnsi="Cambria" w:cs="Times New Roman" w:eastAsia="Times New Roman"/>
          <w:color w:val="000000"/>
          <w:sz w:val="24"/>
          <w:szCs w:val="24"/>
          <w:lang w:eastAsia="ru-RU"/>
        </w:rPr>
        <w:t xml:space="preserve">нтракту (1 разряда) г. Барнаул, </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тел.:</w:t>
      </w:r>
      <w:r>
        <w:rPr>
          <w:rFonts w:ascii="Cambria" w:hAnsi="Cambria" w:cs="Times New Roman" w:eastAsia="Times New Roman"/>
          <w:color w:val="000000"/>
          <w:sz w:val="24"/>
          <w:szCs w:val="24"/>
          <w:lang w:eastAsia="ru-RU"/>
        </w:rPr>
        <w:t xml:space="preserve"> </w:t>
      </w:r>
      <w:r>
        <w:rPr>
          <w:rFonts w:ascii="Cambria" w:hAnsi="Cambria" w:cs="Times New Roman" w:eastAsia="Times New Roman"/>
          <w:color w:val="000000"/>
          <w:sz w:val="24"/>
          <w:szCs w:val="24"/>
          <w:lang w:eastAsia="ru-RU"/>
        </w:rPr>
        <w:t xml:space="preserve">8 (3852) 61-15-07, адрес: г. Барнаул, пр. Сибирский, д. 43</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Номера телефонов горячей линии военного комиссариата Алтайского края</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и пункта отбора граждан по контракту Центрального военного округа по </w:t>
      </w:r>
      <w:r>
        <w:rPr>
          <w:rFonts w:ascii="Cambria" w:hAnsi="Cambria" w:cs="Times New Roman" w:eastAsia="Times New Roman"/>
          <w:color w:val="000000"/>
          <w:sz w:val="24"/>
          <w:szCs w:val="24"/>
          <w:lang w:eastAsia="ru-RU"/>
        </w:rPr>
        <w:br/>
        <w:t xml:space="preserve">Алтайскому краю</w:t>
      </w:r>
      <w:r>
        <w:rPr>
          <w:rFonts w:ascii="Cambria" w:hAnsi="Cambria" w:cs="Times New Roman" w:eastAsia="Times New Roman"/>
          <w:color w:val="000000"/>
          <w:sz w:val="24"/>
          <w:szCs w:val="24"/>
          <w:lang w:eastAsia="ru-RU"/>
        </w:rPr>
        <w:t xml:space="preserve"> </w:t>
      </w:r>
      <w:r>
        <w:rPr>
          <w:rFonts w:ascii="Cambria" w:hAnsi="Cambria" w:cs="Times New Roman" w:eastAsia="Times New Roman"/>
          <w:color w:val="000000"/>
          <w:sz w:val="24"/>
          <w:szCs w:val="24"/>
          <w:lang w:eastAsia="ru-RU"/>
        </w:rPr>
        <w:t xml:space="preserve">по вопросам прохождения военной службы по контракту</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 именных подразделениях Алтайского края и в Вооруженных Силах </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Р</w:t>
      </w:r>
      <w:r>
        <w:rPr>
          <w:rFonts w:ascii="Cambria" w:hAnsi="Cambria" w:cs="Times New Roman" w:eastAsia="Times New Roman"/>
          <w:color w:val="000000"/>
          <w:sz w:val="24"/>
          <w:szCs w:val="24"/>
          <w:lang w:eastAsia="ru-RU"/>
        </w:rPr>
        <w:t xml:space="preserve">оссийской </w:t>
      </w:r>
      <w:r>
        <w:rPr>
          <w:rFonts w:ascii="Cambria" w:hAnsi="Cambria" w:cs="Times New Roman" w:eastAsia="Times New Roman"/>
          <w:color w:val="000000"/>
          <w:sz w:val="24"/>
          <w:szCs w:val="24"/>
          <w:lang w:eastAsia="ru-RU"/>
        </w:rPr>
        <w:t xml:space="preserve">Федерации:</w:t>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 военном комиссариате Алтайского края (3852) 63-83-67;</w:t>
      </w:r>
      <w:r/>
    </w:p>
    <w:p>
      <w:pPr>
        <w:ind w:firstLine="709"/>
        <w:jc w:val="center"/>
        <w:spacing w:lineRule="auto" w:line="240" w:after="0"/>
        <w:shd w:val="clear" w:color="auto" w:fill="FFFFFF"/>
        <w:rPr>
          <w:rFonts w:ascii="Cambria" w:hAnsi="Cambria" w:cs="Times New Roman" w:eastAsia="Times New Roman"/>
          <w:b/>
          <w:color w:val="0070C0"/>
          <w:sz w:val="24"/>
          <w:szCs w:val="24"/>
          <w:lang w:eastAsia="ru-RU"/>
        </w:rPr>
      </w:pPr>
      <w:r>
        <w:rPr>
          <w:rFonts w:ascii="Cambria" w:hAnsi="Cambria" w:cs="Times New Roman" w:eastAsia="Times New Roman"/>
          <w:b/>
          <w:color w:val="0070C0"/>
          <w:sz w:val="24"/>
          <w:szCs w:val="24"/>
          <w:lang w:eastAsia="ru-RU"/>
        </w:rPr>
      </w:r>
      <w:r/>
    </w:p>
    <w:p>
      <w:pPr>
        <w:ind w:firstLine="709"/>
        <w:jc w:val="center"/>
        <w:spacing w:lineRule="auto" w:line="240" w:after="0"/>
        <w:shd w:val="clear" w:color="auto" w:fill="FFFFFF"/>
        <w:rPr>
          <w:rFonts w:ascii="Cambria" w:hAnsi="Cambria" w:cs="Times New Roman" w:eastAsia="Times New Roman"/>
          <w:b/>
          <w:color w:val="0070C0"/>
          <w:sz w:val="24"/>
          <w:szCs w:val="24"/>
        </w:rPr>
      </w:pPr>
      <w:r>
        <w:rPr>
          <w:rFonts w:ascii="Cambria" w:hAnsi="Cambria" w:cs="Times New Roman" w:eastAsia="Times New Roman"/>
          <w:b/>
          <w:color w:val="0070C0"/>
          <w:sz w:val="24"/>
          <w:szCs w:val="24"/>
          <w:lang w:eastAsia="ru-RU"/>
        </w:rPr>
        <w:t xml:space="preserve">в городе Барнауле:</w:t>
      </w:r>
      <w:r>
        <w:rPr>
          <w:color w:val="0070C0"/>
        </w:rPr>
      </w:r>
      <w:r/>
    </w:p>
    <w:p>
      <w:pPr>
        <w:ind w:firstLine="709"/>
        <w:jc w:val="center"/>
        <w:spacing w:lineRule="auto" w:line="240" w:after="0"/>
        <w:shd w:val="clear" w:color="auto" w:fill="FFFFFF"/>
        <w:rPr>
          <w:rFonts w:ascii="Cambria" w:hAnsi="Cambria" w:cs="Times New Roman" w:eastAsia="Times New Roman"/>
          <w:b/>
          <w:color w:val="0070C0"/>
          <w:sz w:val="24"/>
          <w:szCs w:val="24"/>
          <w:lang w:eastAsia="ru-RU"/>
        </w:rPr>
      </w:pPr>
      <w:r>
        <w:rPr>
          <w:rFonts w:ascii="Cambria" w:hAnsi="Cambria" w:cs="Times New Roman" w:eastAsia="Times New Roman"/>
          <w:b/>
          <w:color w:val="0070C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 Железнодорожном, Октябрьском и Центральном районах - (3852) 62-86-48;</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 Ленинском и Индустриальном районах - (3852) 44-20-52.</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пункт отбора на военную службу по контракту - (3852) 61-15-07;</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Бийске:</w:t>
      </w:r>
      <w:r>
        <w:rPr>
          <w:rFonts w:ascii="Cambria" w:hAnsi="Cambria" w:cs="Times New Roman" w:eastAsia="Times New Roman"/>
          <w:color w:val="000000"/>
          <w:sz w:val="24"/>
          <w:szCs w:val="24"/>
          <w:lang w:eastAsia="ru-RU"/>
        </w:rPr>
        <w:t xml:space="preserve"> (3854) 35-58-15;</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Новоалтайске:</w:t>
      </w:r>
      <w:r>
        <w:rPr>
          <w:rFonts w:ascii="Cambria" w:hAnsi="Cambria" w:cs="Times New Roman" w:eastAsia="Times New Roman"/>
          <w:color w:val="000000"/>
          <w:sz w:val="24"/>
          <w:szCs w:val="24"/>
          <w:lang w:eastAsia="ru-RU"/>
        </w:rPr>
        <w:t xml:space="preserve"> (38532) 4-82-43;</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Рубцовске:</w:t>
      </w:r>
      <w:r>
        <w:rPr>
          <w:rFonts w:ascii="Cambria" w:hAnsi="Cambria" w:cs="Times New Roman" w:eastAsia="Times New Roman"/>
          <w:color w:val="000000"/>
          <w:sz w:val="24"/>
          <w:szCs w:val="24"/>
          <w:lang w:eastAsia="ru-RU"/>
        </w:rPr>
        <w:t xml:space="preserve"> (38557) 4-31-02;</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Заринске:</w:t>
      </w:r>
      <w:r>
        <w:rPr>
          <w:rFonts w:ascii="Cambria" w:hAnsi="Cambria" w:cs="Times New Roman" w:eastAsia="Times New Roman"/>
          <w:color w:val="000000"/>
          <w:sz w:val="24"/>
          <w:szCs w:val="24"/>
          <w:lang w:eastAsia="ru-RU"/>
        </w:rPr>
        <w:t xml:space="preserve"> (38595) 4-36-34;</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Алейске:</w:t>
      </w:r>
      <w:r>
        <w:rPr>
          <w:rFonts w:ascii="Cambria" w:hAnsi="Cambria" w:cs="Times New Roman" w:eastAsia="Times New Roman"/>
          <w:color w:val="000000"/>
          <w:sz w:val="24"/>
          <w:szCs w:val="24"/>
          <w:lang w:eastAsia="ru-RU"/>
        </w:rPr>
        <w:t xml:space="preserve"> (38553) 2-24-35;</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b/>
          <w:color w:val="0070C0"/>
          <w:sz w:val="24"/>
          <w:szCs w:val="24"/>
          <w:lang w:eastAsia="ru-RU"/>
        </w:rPr>
        <w:t xml:space="preserve">в городе Славгороде:</w:t>
      </w:r>
      <w:r>
        <w:rPr>
          <w:rFonts w:ascii="Cambria" w:hAnsi="Cambria" w:cs="Times New Roman" w:eastAsia="Times New Roman"/>
          <w:color w:val="000000"/>
          <w:sz w:val="24"/>
          <w:szCs w:val="24"/>
          <w:lang w:eastAsia="ru-RU"/>
        </w:rPr>
        <w:t xml:space="preserve"> (38568) 5-40-15.</w:t>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r>
      <w:r/>
    </w:p>
    <w:p>
      <w:pPr>
        <w:ind w:firstLine="709"/>
        <w:jc w:val="center"/>
        <w:spacing w:lineRule="auto" w:line="240" w:after="0"/>
        <w:shd w:val="clear" w:color="auto" w:fill="FFFFFF"/>
        <w:rPr>
          <w:rFonts w:ascii="Cambria" w:hAnsi="Cambria" w:cs="Times New Roman" w:eastAsia="Times New Roman"/>
          <w:color w:val="000000"/>
          <w:sz w:val="24"/>
          <w:szCs w:val="24"/>
          <w:lang w:eastAsia="ru-RU"/>
        </w:rPr>
      </w:pPr>
      <w:r>
        <w:rPr>
          <w:rFonts w:ascii="Cambria" w:hAnsi="Cambria" w:cs="Times New Roman" w:eastAsia="Times New Roman"/>
          <w:color w:val="000000"/>
          <w:sz w:val="24"/>
          <w:szCs w:val="24"/>
          <w:lang w:eastAsia="ru-RU"/>
        </w:rPr>
        <w:t xml:space="preserve">Время работы телефонов горячей линии - в будни с 9</w:t>
      </w:r>
      <w:r>
        <w:rPr>
          <w:rFonts w:ascii="Cambria" w:hAnsi="Cambria" w:cs="Times New Roman" w:eastAsia="Times New Roman"/>
          <w:color w:val="000000"/>
          <w:sz w:val="24"/>
          <w:szCs w:val="24"/>
          <w:lang w:eastAsia="ru-RU"/>
        </w:rPr>
        <w:t xml:space="preserve">:00</w:t>
      </w:r>
      <w:r>
        <w:rPr>
          <w:rFonts w:ascii="Cambria" w:hAnsi="Cambria" w:cs="Times New Roman" w:eastAsia="Times New Roman"/>
          <w:color w:val="000000"/>
          <w:sz w:val="24"/>
          <w:szCs w:val="24"/>
          <w:lang w:eastAsia="ru-RU"/>
        </w:rPr>
        <w:t xml:space="preserve"> до 17</w:t>
      </w:r>
      <w:r>
        <w:rPr>
          <w:rFonts w:ascii="Cambria" w:hAnsi="Cambria" w:cs="Times New Roman" w:eastAsia="Times New Roman"/>
          <w:color w:val="000000"/>
          <w:sz w:val="24"/>
          <w:szCs w:val="24"/>
          <w:lang w:eastAsia="ru-RU"/>
        </w:rPr>
        <w:t xml:space="preserve">:00</w:t>
      </w:r>
      <w:r>
        <w:rPr>
          <w:rFonts w:ascii="Cambria" w:hAnsi="Cambria" w:cs="Times New Roman" w:eastAsia="Times New Roman"/>
          <w:color w:val="000000"/>
          <w:sz w:val="24"/>
          <w:szCs w:val="24"/>
          <w:lang w:eastAsia="ru-RU"/>
        </w:rPr>
        <w:t xml:space="preserve"> часов.</w:t>
      </w:r>
      <w:r/>
    </w:p>
    <w:p>
      <w:pPr>
        <w:rPr>
          <w:rFonts w:ascii="Cambria" w:hAnsi="Cambria" w:cs="Times New Roman"/>
          <w:b/>
          <w:sz w:val="24"/>
          <w:szCs w:val="24"/>
        </w:rPr>
      </w:pPr>
      <w:r>
        <w:rPr>
          <w:rFonts w:ascii="Cambria" w:hAnsi="Cambria" w:cs="Times New Roman"/>
          <w:b/>
          <w:sz w:val="24"/>
          <w:szCs w:val="24"/>
        </w:rPr>
        <w:br w:type="page"/>
      </w:r>
      <w:r/>
    </w:p>
    <w:p>
      <w:pPr>
        <w:jc w:val="center"/>
        <w:spacing w:lineRule="auto" w:line="240" w:after="0"/>
        <w:widowControl w:val="off"/>
        <w:rPr>
          <w:rFonts w:ascii="Cambria" w:hAnsi="Cambria" w:cs="Times New Roman"/>
          <w:b/>
          <w:sz w:val="24"/>
          <w:szCs w:val="24"/>
        </w:rPr>
      </w:pPr>
      <w:r>
        <w:rPr>
          <w:rFonts w:ascii="Cambria" w:hAnsi="Cambria" w:cs="Times New Roman"/>
          <w:b/>
          <w:sz w:val="24"/>
          <w:szCs w:val="24"/>
        </w:rPr>
        <w:t xml:space="preserve">ПРАВОВЫЕ АСПЕКТЫ ПРЕБЫВАНИЯ ТРУДОВОГО МИГРАНТА В </w:t>
      </w:r>
      <w:r/>
    </w:p>
    <w:p>
      <w:pPr>
        <w:jc w:val="center"/>
        <w:spacing w:lineRule="auto" w:line="240" w:after="0"/>
        <w:widowControl w:val="off"/>
        <w:rPr>
          <w:rFonts w:ascii="Cambria" w:hAnsi="Cambria" w:cs="Times New Roman"/>
          <w:b/>
          <w:sz w:val="24"/>
          <w:szCs w:val="24"/>
        </w:rPr>
      </w:pPr>
      <w:r>
        <w:rPr>
          <w:rFonts w:ascii="Cambria" w:hAnsi="Cambria" w:cs="Times New Roman"/>
          <w:b/>
          <w:sz w:val="24"/>
          <w:szCs w:val="24"/>
        </w:rPr>
        <w:t xml:space="preserve">РОССИЙСКУЮФЕДЕРАЦИЮ</w:t>
      </w:r>
      <w:r/>
    </w:p>
    <w:p>
      <w:pPr>
        <w:jc w:val="center"/>
        <w:spacing w:lineRule="auto" w:line="240" w:after="0"/>
        <w:rPr>
          <w:rFonts w:ascii="Cambria" w:hAnsi="Cambria" w:cs="Times New Roman"/>
          <w:sz w:val="24"/>
          <w:szCs w:val="24"/>
        </w:rPr>
      </w:pPr>
      <w:r>
        <w:rPr>
          <w:rFonts w:ascii="Cambria" w:hAnsi="Cambria" w:cs="Times New Roman"/>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К ПОЕЗДКЕ В РОССИЮ НУЖНО ПОДГОТОВИТЬСЯ ЗАРАНЕЕ.</w:t>
      </w:r>
      <w:r/>
    </w:p>
    <w:p>
      <w:pPr>
        <w:jc w:val="center"/>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lang w:eastAsia="ru-RU"/>
        </w:rPr>
      </w:r>
      <w:r>
        <w:rPr>
          <w:rFonts w:ascii="Cambria" w:hAnsi="Cambria" w:cs="Times New Roman"/>
          <w:sz w:val="24"/>
          <w:szCs w:val="24"/>
          <w:lang w:eastAsia="ru-RU"/>
        </w:rPr>
        <mc:AlternateContent>
          <mc:Choice Requires="wpg">
            <w:drawing>
              <wp:inline xmlns:wp="http://schemas.openxmlformats.org/drawingml/2006/wordprocessingDrawing" distT="0" distB="0" distL="0" distR="0">
                <wp:extent cx="5118100" cy="3602196"/>
                <wp:effectExtent l="0" t="0" r="0" b="0"/>
                <wp:docPr id="5" name="" hidden="false"/>
                <wp:cNvGraphicFramePr/>
                <a:graphic xmlns:a="http://schemas.openxmlformats.org/drawingml/2006/main">
                  <a:graphicData uri="http://schemas.microsoft.com/office/word/2010/wordprocessingGroup">
                    <wpg:wgp>
                      <wpg:cNvGrpSpPr/>
                      <wpg:grpSpPr bwMode="auto">
                        <a:xfrm>
                          <a:off x="0" y="0"/>
                          <a:ext cx="5118099" cy="3602196"/>
                          <a:chOff x="0" y="0"/>
                          <a:chExt cx="5118099" cy="3602196"/>
                        </a:xfrm>
                      </wpg:grpSpPr>
                      <wpg:grpSp>
                        <wpg:cNvGrpSpPr/>
                        <wpg:grpSpPr bwMode="auto">
                          <a:xfrm>
                            <a:off x="0" y="0"/>
                            <a:ext cx="1599424" cy="1039970"/>
                            <a:chOff x="0" y="0"/>
                            <a:chExt cx="1599424" cy="1039970"/>
                          </a:xfrm>
                        </wpg:grpSpPr>
                        <wps:wsp>
                          <wps:cNvSpPr/>
                          <wps:spPr bwMode="auto">
                            <a:xfrm flipH="0" flipV="0">
                              <a:off x="0" y="0"/>
                              <a:ext cx="1599424" cy="1039970"/>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0"/>
                              <a:ext cx="1599424" cy="1039970"/>
                            </a:xfrm>
                            <a:prstGeom prst="rect">
                              <a:avLst/>
                            </a:prstGeom>
                            <a:noFill/>
                            <a:ln w="12700">
                              <a:solidFill>
                                <a:schemeClr val="accent1"/>
                              </a:solidFill>
                              <a:prstDash val="solid"/>
                              <a:miter/>
                            </a:ln>
                          </wps:spPr>
                          <wps:txbx>
                            <w:txbxContent>
                              <w:p>
                                <w:pPr>
                                  <w:rPr>
                                    <w:b/>
                                  </w:rPr>
                                </w:pPr>
                                <w:r>
                                  <w:rPr>
                                    <w:b/>
                                    <w:color w:val="FFFFFF"/>
                                  </w:rPr>
                                  <w:t xml:space="preserve">Иметь деньги на оформление документов, пошлин, аренду жилья, питание и транспорт</w:t>
                                </w:r>
                                <w:r>
                                  <w:rPr>
                                    <w:b/>
                                  </w:rPr>
                                </w:r>
                                <w:r/>
                              </w:p>
                            </w:txbxContent>
                          </wps:txbx>
                          <wps:bodyPr wrap="square" anchor="ctr"/>
                        </wps:wsp>
                      </wpg:grpSp>
                      <wpg:grpSp>
                        <wpg:cNvGrpSpPr/>
                        <wpg:grpSpPr bwMode="auto">
                          <a:xfrm>
                            <a:off x="1759336" y="0"/>
                            <a:ext cx="1599424" cy="1020920"/>
                            <a:chOff x="0" y="0"/>
                            <a:chExt cx="1599424" cy="1020920"/>
                          </a:xfrm>
                        </wpg:grpSpPr>
                        <wps:wsp>
                          <wps:cNvSpPr/>
                          <wps:spPr bwMode="auto">
                            <a:xfrm flipH="0" flipV="0">
                              <a:off x="0" y="0"/>
                              <a:ext cx="1599424" cy="1020920"/>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13607" y="0"/>
                              <a:ext cx="1585817" cy="1020920"/>
                            </a:xfrm>
                            <a:prstGeom prst="rect">
                              <a:avLst/>
                            </a:prstGeom>
                            <a:noFill/>
                            <a:ln w="12700">
                              <a:solidFill>
                                <a:schemeClr val="accent1"/>
                              </a:solidFill>
                              <a:prstDash val="solid"/>
                              <a:miter/>
                            </a:ln>
                          </wps:spPr>
                          <wps:txbx>
                            <w:txbxContent>
                              <w:p>
                                <w:pPr>
                                  <w:rPr>
                                    <w:b/>
                                  </w:rPr>
                                </w:pPr>
                                <w:r>
                                  <w:rPr>
                                    <w:b/>
                                    <w:color w:val="FFFFFF"/>
                                  </w:rPr>
                                  <w:t xml:space="preserve">Узнать есть ли для Вас работа и жильё в Российской Федерации</w:t>
                                </w:r>
                                <w:r>
                                  <w:rPr>
                                    <w:b/>
                                  </w:rPr>
                                </w:r>
                                <w:r/>
                              </w:p>
                            </w:txbxContent>
                          </wps:txbx>
                          <wps:bodyPr wrap="square" anchor="ctr"/>
                        </wps:wsp>
                      </wpg:grpSp>
                      <wpg:grpSp>
                        <wpg:cNvGrpSpPr/>
                        <wpg:grpSpPr bwMode="auto">
                          <a:xfrm>
                            <a:off x="3518673" y="0"/>
                            <a:ext cx="1599424" cy="1080762"/>
                            <a:chOff x="0" y="0"/>
                            <a:chExt cx="1599424" cy="1080762"/>
                          </a:xfrm>
                        </wpg:grpSpPr>
                        <wps:wsp>
                          <wps:cNvSpPr/>
                          <wps:spPr bwMode="auto">
                            <a:xfrm flipH="0" flipV="0">
                              <a:off x="0" y="0"/>
                              <a:ext cx="1599424" cy="1080762"/>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42853" y="0"/>
                              <a:ext cx="1556571" cy="1070179"/>
                            </a:xfrm>
                            <a:prstGeom prst="rect">
                              <a:avLst/>
                            </a:prstGeom>
                            <a:noFill/>
                            <a:ln w="12700">
                              <a:solidFill>
                                <a:schemeClr val="accent1"/>
                              </a:solidFill>
                              <a:prstDash val="solid"/>
                              <a:miter/>
                            </a:ln>
                          </wps:spPr>
                          <wps:txbx>
                            <w:txbxContent>
                              <w:p>
                                <w:pPr>
                                  <w:rPr>
                                    <w:b/>
                                  </w:rPr>
                                </w:pPr>
                                <w:r>
                                  <w:rPr>
                                    <w:b/>
                                    <w:color w:val="FFFFFF"/>
                                  </w:rPr>
                                  <w:t xml:space="preserve">Знать кто будет Вашей принимающей стороной в Российской Федерации </w:t>
                                </w:r>
                                <w:r>
                                  <w:rPr>
                                    <w:b/>
                                  </w:rPr>
                                </w:r>
                                <w:r/>
                              </w:p>
                            </w:txbxContent>
                          </wps:txbx>
                          <wps:bodyPr wrap="square" anchor="ctr"/>
                        </wps:wsp>
                      </wpg:grpSp>
                      <wpg:grpSp>
                        <wpg:cNvGrpSpPr/>
                        <wpg:grpSpPr bwMode="auto">
                          <a:xfrm>
                            <a:off x="0" y="1247234"/>
                            <a:ext cx="1599424" cy="659511"/>
                            <a:chOff x="0" y="0"/>
                            <a:chExt cx="1599424" cy="659511"/>
                          </a:xfrm>
                        </wpg:grpSpPr>
                        <wps:wsp>
                          <wps:cNvSpPr/>
                          <wps:spPr bwMode="auto">
                            <a:xfrm flipH="0" flipV="0">
                              <a:off x="0" y="0"/>
                              <a:ext cx="1599424" cy="659511"/>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0"/>
                              <a:ext cx="1599424" cy="648444"/>
                            </a:xfrm>
                            <a:prstGeom prst="rect">
                              <a:avLst/>
                            </a:prstGeom>
                            <a:noFill/>
                            <a:ln w="12700">
                              <a:solidFill>
                                <a:schemeClr val="accent1"/>
                              </a:solidFill>
                              <a:prstDash val="solid"/>
                              <a:miter/>
                            </a:ln>
                          </wps:spPr>
                          <wps:txbx>
                            <w:txbxContent>
                              <w:p>
                                <w:pPr>
                                  <w:rPr>
                                    <w:b/>
                                  </w:rPr>
                                </w:pPr>
                                <w:r>
                                  <w:rPr>
                                    <w:b/>
                                    <w:color w:val="FFFFFF"/>
                                  </w:rPr>
                                  <w:t xml:space="preserve">Изучить российское законодательство</w:t>
                                </w:r>
                                <w:r>
                                  <w:rPr>
                                    <w:b/>
                                  </w:rPr>
                                </w:r>
                                <w:r/>
                              </w:p>
                            </w:txbxContent>
                          </wps:txbx>
                          <wps:bodyPr wrap="square" anchor="ctr"/>
                        </wps:wsp>
                      </wpg:grpSp>
                      <wpg:grpSp>
                        <wpg:cNvGrpSpPr/>
                        <wpg:grpSpPr bwMode="auto">
                          <a:xfrm>
                            <a:off x="1758969" y="1247234"/>
                            <a:ext cx="1599424" cy="649985"/>
                            <a:chOff x="0" y="0"/>
                            <a:chExt cx="1599424" cy="649985"/>
                          </a:xfrm>
                        </wpg:grpSpPr>
                        <wps:wsp>
                          <wps:cNvSpPr/>
                          <wps:spPr bwMode="auto">
                            <a:xfrm flipH="0" flipV="0">
                              <a:off x="0" y="0"/>
                              <a:ext cx="1599424" cy="649985"/>
                            </a:xfrm>
                            <a:prstGeom prst="rect">
                              <a:avLst/>
                            </a:prstGeom>
                            <a:solidFill>
                              <a:srgbClr val="4C83BA"/>
                            </a:solidFill>
                            <a:ln w="25400">
                              <a:solidFill>
                                <a:srgbClr val="FFFFFF"/>
                              </a:solidFill>
                              <a:miter/>
                            </a:ln>
                          </wps:spPr>
                          <wps:txbx>
                            <w:txbxContent>
                              <w:p>
                                <w:pPr>
                                  <w:jc w:val="center"/>
                                </w:pPr>
                                <w:r/>
                                <w:r/>
                              </w:p>
                            </w:txbxContent>
                          </wps:txbx>
                          <wps:bodyPr anchor="ctr"/>
                        </wps:wsp>
                        <wps:wsp>
                          <wps:cNvSpPr/>
                          <wps:spPr bwMode="auto">
                            <a:xfrm flipH="0" flipV="0">
                              <a:off x="13975" y="9524"/>
                              <a:ext cx="1585449" cy="638919"/>
                            </a:xfrm>
                            <a:prstGeom prst="rect">
                              <a:avLst/>
                            </a:prstGeom>
                            <a:noFill/>
                            <a:ln w="12700">
                              <a:solidFill>
                                <a:schemeClr val="accent1"/>
                              </a:solidFill>
                              <a:prstDash val="solid"/>
                              <a:miter/>
                            </a:ln>
                          </wps:spPr>
                          <wps:txbx>
                            <w:txbxContent>
                              <w:p>
                                <w:pPr>
                                  <w:rPr>
                                    <w:b/>
                                  </w:rPr>
                                </w:pPr>
                                <w:r>
                                  <w:rPr>
                                    <w:b/>
                                    <w:color w:val="FFFFFF"/>
                                  </w:rPr>
                                  <w:t xml:space="preserve">Изучить русский язык</w:t>
                                </w:r>
                                <w:r>
                                  <w:rPr>
                                    <w:b/>
                                  </w:rPr>
                                </w:r>
                                <w:r/>
                              </w:p>
                            </w:txbxContent>
                          </wps:txbx>
                          <wps:bodyPr wrap="square" anchor="ctr"/>
                        </wps:wsp>
                      </wpg:grpSp>
                      <wpg:grpSp>
                        <wpg:cNvGrpSpPr/>
                        <wpg:grpSpPr bwMode="auto">
                          <a:xfrm>
                            <a:off x="3518673" y="1256759"/>
                            <a:ext cx="1599424" cy="935874"/>
                            <a:chOff x="0" y="0"/>
                            <a:chExt cx="1599424" cy="935874"/>
                          </a:xfrm>
                        </wpg:grpSpPr>
                        <wps:wsp>
                          <wps:cNvSpPr/>
                          <wps:spPr bwMode="auto">
                            <a:xfrm>
                              <a:off x="0" y="0"/>
                              <a:ext cx="1599424" cy="935874"/>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0"/>
                              <a:ext cx="1599424" cy="935735"/>
                            </a:xfrm>
                            <a:prstGeom prst="rect">
                              <a:avLst/>
                            </a:prstGeom>
                            <a:noFill/>
                            <a:ln w="12700">
                              <a:solidFill>
                                <a:schemeClr val="accent1"/>
                              </a:solidFill>
                              <a:prstDash val="solid"/>
                              <a:miter/>
                            </a:ln>
                          </wps:spPr>
                          <wps:txbx>
                            <w:txbxContent>
                              <w:p>
                                <w:pPr>
                                  <w:rPr>
                                    <w:b/>
                                  </w:rPr>
                                </w:pPr>
                                <w:r>
                                  <w:rPr>
                                    <w:b/>
                                    <w:color w:val="FFFFFF"/>
                                    <w:sz w:val="20"/>
                                    <w:szCs w:val="20"/>
                                  </w:rPr>
                                  <w:t xml:space="preserve">Проверить, не запрещен ли въезд в Россию</w:t>
                                </w:r>
                                <w:r>
                                  <w:rPr>
                                    <w:b/>
                                  </w:rPr>
                                </w:r>
                                <w:r/>
                              </w:p>
                              <w:p>
                                <w:r>
                                  <w:rPr>
                                    <w:color w:val="FFFFFF"/>
                                    <w:sz w:val="20"/>
                                    <w:szCs w:val="20"/>
                                  </w:rPr>
                                  <w:t xml:space="preserve">http://services.fms.gov.ru/info-service.htm?sid=3000;</w:t>
                                </w:r>
                                <w:r/>
                              </w:p>
                            </w:txbxContent>
                          </wps:txbx>
                          <wps:bodyPr wrap="square" anchor="ctr"/>
                        </wps:wsp>
                      </wpg:grpSp>
                      <wpg:grpSp>
                        <wpg:cNvGrpSpPr/>
                        <wpg:grpSpPr bwMode="auto">
                          <a:xfrm>
                            <a:off x="497544" y="2316466"/>
                            <a:ext cx="1981548" cy="1285729"/>
                            <a:chOff x="0" y="0"/>
                            <a:chExt cx="1981548" cy="1285729"/>
                          </a:xfrm>
                        </wpg:grpSpPr>
                        <wps:wsp>
                          <wps:cNvSpPr/>
                          <wps:spPr bwMode="auto">
                            <a:xfrm flipH="0" flipV="0">
                              <a:off x="0" y="0"/>
                              <a:ext cx="1981548" cy="1285729"/>
                            </a:xfrm>
                            <a:prstGeom prst="rect">
                              <a:avLst/>
                            </a:prstGeom>
                            <a:solidFill>
                              <a:srgbClr val="4C83BA"/>
                            </a:solidFill>
                            <a:ln w="25400">
                              <a:solidFill>
                                <a:srgbClr val="FFFFFF"/>
                              </a:solidFill>
                              <a:miter/>
                            </a:ln>
                          </wps:spPr>
                          <wps:txbx>
                            <w:txbxContent>
                              <w:p>
                                <w:pPr>
                                  <w:jc w:val="center"/>
                                </w:pPr>
                                <w:r/>
                                <w:r/>
                              </w:p>
                            </w:txbxContent>
                          </wps:txbx>
                          <wps:bodyPr wrap="square" anchor="ctr"/>
                        </wps:wsp>
                        <wps:wsp>
                          <wps:cNvSpPr/>
                          <wps:spPr bwMode="auto">
                            <a:xfrm flipH="0" flipV="0">
                              <a:off x="19049" y="13173"/>
                              <a:ext cx="1962498" cy="1243981"/>
                            </a:xfrm>
                            <a:prstGeom prst="rect">
                              <a:avLst/>
                            </a:prstGeom>
                            <a:noFill/>
                            <a:ln w="12700">
                              <a:solidFill>
                                <a:schemeClr val="accent1"/>
                              </a:solidFill>
                              <a:prstDash val="solid"/>
                              <a:miter/>
                            </a:ln>
                          </wps:spPr>
                          <wps:txbx>
                            <w:txbxContent>
                              <w:p>
                                <w:pPr>
                                  <w:rPr>
                                    <w:b/>
                                  </w:rPr>
                                </w:pPr>
                                <w:r>
                                  <w:rPr>
                                    <w:b/>
                                    <w:color w:val="FFFFFF"/>
                                  </w:rPr>
                                  <w:t xml:space="preserve">Пройти тестирование по русскому языку, истории и законодательству Российской Федерации</w:t>
                                </w:r>
                                <w:r>
                                  <w:rPr>
                                    <w:b/>
                                  </w:rPr>
                                </w:r>
                                <w:r/>
                              </w:p>
                              <w:p>
                                <w:r>
                                  <w:rPr>
                                    <w:color w:val="FFFFFF"/>
                                  </w:rPr>
                                  <w:t xml:space="preserve">http://testcons.ru</w:t>
                                </w:r>
                                <w:r/>
                              </w:p>
                            </w:txbxContent>
                          </wps:txbx>
                          <wps:bodyPr wrap="square" anchor="ctr"/>
                        </wps:wsp>
                      </wpg:grpSp>
                      <wpg:grpSp>
                        <wpg:cNvGrpSpPr/>
                        <wpg:grpSpPr bwMode="auto">
                          <a:xfrm>
                            <a:off x="2660207" y="2316466"/>
                            <a:ext cx="1599424" cy="980929"/>
                            <a:chOff x="0" y="0"/>
                            <a:chExt cx="1599424" cy="980929"/>
                          </a:xfrm>
                        </wpg:grpSpPr>
                        <wps:wsp>
                          <wps:cNvSpPr/>
                          <wps:spPr bwMode="auto">
                            <a:xfrm flipH="0" flipV="0">
                              <a:off x="0" y="0"/>
                              <a:ext cx="1599424" cy="980929"/>
                            </a:xfrm>
                            <a:prstGeom prst="rect">
                              <a:avLst/>
                            </a:prstGeom>
                            <a:solidFill>
                              <a:srgbClr val="4C83BA"/>
                            </a:solidFill>
                            <a:ln w="25400">
                              <a:solidFill>
                                <a:srgbClr val="FFFFFF"/>
                              </a:solidFill>
                              <a:miter/>
                            </a:ln>
                          </wps:spPr>
                          <wps:txbx>
                            <w:txbxContent>
                              <w:p>
                                <w:pPr>
                                  <w:jc w:val="center"/>
                                </w:pPr>
                                <w:r/>
                                <w:r/>
                              </w:p>
                            </w:txbxContent>
                          </wps:txbx>
                          <wps:bodyPr anchor="ctr"/>
                        </wps:wsp>
                        <wps:wsp>
                          <wps:cNvSpPr/>
                          <wps:spPr bwMode="auto">
                            <a:xfrm flipH="0" flipV="0">
                              <a:off x="0" y="13173"/>
                              <a:ext cx="1599424" cy="948705"/>
                            </a:xfrm>
                            <a:prstGeom prst="rect">
                              <a:avLst/>
                            </a:prstGeom>
                            <a:noFill/>
                            <a:ln w="12700">
                              <a:solidFill>
                                <a:schemeClr val="accent1"/>
                              </a:solidFill>
                              <a:prstDash val="solid"/>
                              <a:miter/>
                            </a:ln>
                          </wps:spPr>
                          <wps:txbx>
                            <w:txbxContent>
                              <w:p>
                                <w:pPr>
                                  <w:rPr>
                                    <w:b/>
                                  </w:rPr>
                                </w:pPr>
                                <w:r>
                                  <w:rPr>
                                    <w:b/>
                                    <w:color w:val="FFFFFF"/>
                                  </w:rPr>
                                  <w:t xml:space="preserve">Оформить полис медицинского страхования</w:t>
                                </w:r>
                                <w:r>
                                  <w:rPr>
                                    <w:b/>
                                  </w:rPr>
                                </w:r>
                                <w:r/>
                              </w:p>
                            </w:txbxContent>
                          </wps:txbx>
                          <wps:bodyPr wrap="square" anchor="ctr"/>
                        </wps:wsp>
                      </wpg:grpSp>
                    </wpg:wgp>
                  </a:graphicData>
                </a:graphic>
              </wp:inline>
            </w:drawing>
          </mc:Choice>
          <mc:Fallback>
            <w:pict>
              <v:group id="group 4" o:spid="_x0000_s0000" style="mso-wrap-distance-left:0.0pt;mso-wrap-distance-top:0.0pt;mso-wrap-distance-right:0.0pt;mso-wrap-distance-bottom:0.0pt;width:403.0pt;height:283.6pt;" coordorigin="0,0" coordsize="51180,36021">
                <v:group id="group 5" o:spid="_x0000_s0000" style="position:absolute;left:0;top:0;width:15994;height:10399;" coordorigin="0,0" coordsize="15994,10399">
                  <v:shape id="shape 6" o:spid="_x0000_s6" o:spt="1" style="position:absolute;left:0;top:0;width:15994;height:10399;" coordsize="100000,100000" path="" fillcolor="#4C83BA" strokecolor="#FFFFFF" strokeweight="2.00pt">
                    <v:path textboxrect="0,0,0,0"/>
                  </v:shape>
                  <v:shape id="shape 7" o:spid="_x0000_s7" o:spt="1" style="position:absolute;left:0;top:0;width:15994;height:10399;v-text-anchor:middle;" coordsize="100000,100000" path="" filled="f" strokecolor="#4F81BD" strokeweight="1.00pt">
                    <v:path textboxrect="0,0,0,0"/>
                    <v:textbox>
                      <w:txbxContent>
                        <w:p>
                          <w:pPr>
                            <w:rPr>
                              <w:b/>
                            </w:rPr>
                          </w:pPr>
                          <w:r>
                            <w:rPr>
                              <w:b/>
                              <w:color w:val="FFFFFF"/>
                            </w:rPr>
                            <w:t xml:space="preserve">Иметь деньги на оформление документов, пошлин, аренду жилья, питание и транспорт</w:t>
                          </w:r>
                          <w:r>
                            <w:rPr>
                              <w:b/>
                            </w:rPr>
                          </w:r>
                          <w:r/>
                        </w:p>
                      </w:txbxContent>
                    </v:textbox>
                  </v:shape>
                </v:group>
                <v:group id="group 8" o:spid="_x0000_s0000" style="position:absolute;left:17593;top:0;width:15994;height:10209;" coordorigin="0,0" coordsize="15994,10209">
                  <v:shape id="shape 9" o:spid="_x0000_s9" o:spt="1" style="position:absolute;left:0;top:0;width:15994;height:10209;" coordsize="100000,100000" path="" fillcolor="#4C83BA" strokecolor="#FFFFFF" strokeweight="2.00pt">
                    <v:path textboxrect="0,0,0,0"/>
                  </v:shape>
                  <v:shape id="shape 10" o:spid="_x0000_s10" o:spt="1" style="position:absolute;left:136;top:0;width:15858;height:10209;v-text-anchor:middle;" coordsize="100000,100000" path="" filled="f" strokecolor="#4F81BD" strokeweight="1.00pt">
                    <v:path textboxrect="0,0,0,0"/>
                    <v:textbox>
                      <w:txbxContent>
                        <w:p>
                          <w:pPr>
                            <w:rPr>
                              <w:b/>
                            </w:rPr>
                          </w:pPr>
                          <w:r>
                            <w:rPr>
                              <w:b/>
                              <w:color w:val="FFFFFF"/>
                            </w:rPr>
                            <w:t xml:space="preserve">Узнать есть ли для Вас работа и жильё в Российской Федерации</w:t>
                          </w:r>
                          <w:r>
                            <w:rPr>
                              <w:b/>
                            </w:rPr>
                          </w:r>
                          <w:r/>
                        </w:p>
                      </w:txbxContent>
                    </v:textbox>
                  </v:shape>
                </v:group>
                <v:group id="group 11" o:spid="_x0000_s0000" style="position:absolute;left:35186;top:0;width:15994;height:10807;" coordorigin="0,0" coordsize="15994,10807">
                  <v:shape id="shape 12" o:spid="_x0000_s12" o:spt="1" style="position:absolute;left:0;top:0;width:15994;height:10807;" coordsize="100000,100000" path="" fillcolor="#4C83BA" strokecolor="#FFFFFF" strokeweight="2.00pt">
                    <v:path textboxrect="0,0,0,0"/>
                  </v:shape>
                  <v:shape id="shape 13" o:spid="_x0000_s13" o:spt="1" style="position:absolute;left:428;top:0;width:15565;height:10701;v-text-anchor:middle;" coordsize="100000,100000" path="" filled="f" strokecolor="#4F81BD" strokeweight="1.00pt">
                    <v:path textboxrect="0,0,0,0"/>
                    <v:textbox>
                      <w:txbxContent>
                        <w:p>
                          <w:pPr>
                            <w:rPr>
                              <w:b/>
                            </w:rPr>
                          </w:pPr>
                          <w:r>
                            <w:rPr>
                              <w:b/>
                              <w:color w:val="FFFFFF"/>
                            </w:rPr>
                            <w:t xml:space="preserve">Знать кто будет Вашей принимающей стороной в Российской Федерации </w:t>
                          </w:r>
                          <w:r>
                            <w:rPr>
                              <w:b/>
                            </w:rPr>
                          </w:r>
                          <w:r/>
                        </w:p>
                      </w:txbxContent>
                    </v:textbox>
                  </v:shape>
                </v:group>
                <v:group id="group 14" o:spid="_x0000_s0000" style="position:absolute;left:0;top:12472;width:15994;height:6595;" coordorigin="0,0" coordsize="15994,6595">
                  <v:shape id="shape 15" o:spid="_x0000_s15" o:spt="1" style="position:absolute;left:0;top:0;width:15994;height:6595;" coordsize="100000,100000" path="" fillcolor="#4C83BA" strokecolor="#FFFFFF" strokeweight="2.00pt">
                    <v:path textboxrect="0,0,0,0"/>
                  </v:shape>
                  <v:shape id="shape 16" o:spid="_x0000_s16" o:spt="1" style="position:absolute;left:0;top:0;width:15994;height:6484;v-text-anchor:middle;" coordsize="100000,100000" path="" filled="f" strokecolor="#4F81BD" strokeweight="1.00pt">
                    <v:path textboxrect="0,0,0,0"/>
                    <v:textbox>
                      <w:txbxContent>
                        <w:p>
                          <w:pPr>
                            <w:rPr>
                              <w:b/>
                            </w:rPr>
                          </w:pPr>
                          <w:r>
                            <w:rPr>
                              <w:b/>
                              <w:color w:val="FFFFFF"/>
                            </w:rPr>
                            <w:t xml:space="preserve">Изучить российское законодательство</w:t>
                          </w:r>
                          <w:r>
                            <w:rPr>
                              <w:b/>
                            </w:rPr>
                          </w:r>
                          <w:r/>
                        </w:p>
                      </w:txbxContent>
                    </v:textbox>
                  </v:shape>
                </v:group>
                <v:group id="group 17" o:spid="_x0000_s0000" style="position:absolute;left:17589;top:12472;width:15994;height:6499;" coordorigin="0,0" coordsize="15994,6499">
                  <v:shape id="shape 18" o:spid="_x0000_s18" o:spt="1" style="position:absolute;left:0;top:0;width:15994;height:6499;v-text-anchor:middle;" coordsize="100000,100000" path="" fillcolor="#4C83BA" strokecolor="#FFFFFF" strokeweight="2.00pt">
                    <v:path textboxrect="0,0,0,0"/>
                    <v:textbox>
                      <w:txbxContent>
                        <w:p>
                          <w:pPr>
                            <w:jc w:val="center"/>
                          </w:pPr>
                          <w:r/>
                          <w:r/>
                        </w:p>
                      </w:txbxContent>
                    </v:textbox>
                  </v:shape>
                  <v:shape id="shape 19" o:spid="_x0000_s19" o:spt="1" style="position:absolute;left:139;top:95;width:15854;height:6389;v-text-anchor:middle;" coordsize="100000,100000" path="" filled="f" strokecolor="#4F81BD" strokeweight="1.00pt">
                    <v:path textboxrect="0,0,0,0"/>
                    <v:textbox>
                      <w:txbxContent>
                        <w:p>
                          <w:pPr>
                            <w:rPr>
                              <w:b/>
                            </w:rPr>
                          </w:pPr>
                          <w:r>
                            <w:rPr>
                              <w:b/>
                              <w:color w:val="FFFFFF"/>
                            </w:rPr>
                            <w:t xml:space="preserve">Изучить русский язык</w:t>
                          </w:r>
                          <w:r>
                            <w:rPr>
                              <w:b/>
                            </w:rPr>
                          </w:r>
                          <w:r/>
                        </w:p>
                      </w:txbxContent>
                    </v:textbox>
                  </v:shape>
                </v:group>
                <v:group id="group 20" o:spid="_x0000_s0000" style="position:absolute;left:35186;top:12567;width:15994;height:9358;" coordorigin="0,0" coordsize="15994,9358">
                  <v:shape id="shape 21" o:spid="_x0000_s21" o:spt="1" style="position:absolute;left:0;top:0;width:15994;height:9358;" coordsize="100000,100000" path="" fillcolor="#4C83BA" strokecolor="#FFFFFF" strokeweight="2.00pt">
                    <v:path textboxrect="0,0,0,0"/>
                  </v:shape>
                  <v:shape id="shape 22" o:spid="_x0000_s22" o:spt="1" style="position:absolute;left:0;top:0;width:15994;height:9357;v-text-anchor:middle;" coordsize="100000,100000" path="" filled="f" strokecolor="#4F81BD" strokeweight="1.00pt">
                    <v:path textboxrect="0,0,0,0"/>
                    <v:textbox>
                      <w:txbxContent>
                        <w:p>
                          <w:pPr>
                            <w:rPr>
                              <w:b/>
                            </w:rPr>
                          </w:pPr>
                          <w:r>
                            <w:rPr>
                              <w:b/>
                              <w:color w:val="FFFFFF"/>
                              <w:sz w:val="20"/>
                              <w:szCs w:val="20"/>
                            </w:rPr>
                            <w:t xml:space="preserve">Проверить, не запрещен ли въезд в Россию</w:t>
                          </w:r>
                          <w:r>
                            <w:rPr>
                              <w:b/>
                            </w:rPr>
                          </w:r>
                          <w:r/>
                        </w:p>
                        <w:p>
                          <w:r>
                            <w:rPr>
                              <w:color w:val="FFFFFF"/>
                              <w:sz w:val="20"/>
                              <w:szCs w:val="20"/>
                            </w:rPr>
                            <w:t xml:space="preserve">http://services.fms.gov.ru/info-service.htm?sid=3000;</w:t>
                          </w:r>
                          <w:r/>
                        </w:p>
                      </w:txbxContent>
                    </v:textbox>
                  </v:shape>
                </v:group>
                <v:group id="group 23" o:spid="_x0000_s0000" style="position:absolute;left:4975;top:23164;width:19815;height:12857;" coordorigin="0,0" coordsize="19815,12857">
                  <v:shape id="shape 24" o:spid="_x0000_s24" o:spt="1" style="position:absolute;left:0;top:0;width:19815;height:12857;v-text-anchor:middle;" coordsize="100000,100000" path="" fillcolor="#4C83BA" strokecolor="#FFFFFF" strokeweight="2.00pt">
                    <v:path textboxrect="0,0,0,0"/>
                    <v:textbox>
                      <w:txbxContent>
                        <w:p>
                          <w:pPr>
                            <w:jc w:val="center"/>
                          </w:pPr>
                          <w:r/>
                          <w:r/>
                        </w:p>
                      </w:txbxContent>
                    </v:textbox>
                  </v:shape>
                  <v:shape id="shape 25" o:spid="_x0000_s25" o:spt="1" style="position:absolute;left:190;top:131;width:19624;height:12439;v-text-anchor:middle;" coordsize="100000,100000" path="" filled="f" strokecolor="#4F81BD" strokeweight="1.00pt">
                    <v:path textboxrect="0,0,0,0"/>
                    <v:textbox>
                      <w:txbxContent>
                        <w:p>
                          <w:pPr>
                            <w:rPr>
                              <w:b/>
                            </w:rPr>
                          </w:pPr>
                          <w:r>
                            <w:rPr>
                              <w:b/>
                              <w:color w:val="FFFFFF"/>
                            </w:rPr>
                            <w:t xml:space="preserve">Пройти тестирование по русскому языку, истории и законодательству Российской Федерации</w:t>
                          </w:r>
                          <w:r>
                            <w:rPr>
                              <w:b/>
                            </w:rPr>
                          </w:r>
                          <w:r/>
                        </w:p>
                        <w:p>
                          <w:r>
                            <w:rPr>
                              <w:color w:val="FFFFFF"/>
                            </w:rPr>
                            <w:t xml:space="preserve">http://testcons.ru</w:t>
                          </w:r>
                          <w:r/>
                        </w:p>
                      </w:txbxContent>
                    </v:textbox>
                  </v:shape>
                </v:group>
                <v:group id="group 26" o:spid="_x0000_s0000" style="position:absolute;left:26602;top:23164;width:15994;height:9809;" coordorigin="0,0" coordsize="15994,9809">
                  <v:shape id="shape 27" o:spid="_x0000_s27" o:spt="1" style="position:absolute;left:0;top:0;width:15994;height:9809;v-text-anchor:middle;" coordsize="100000,100000" path="" fillcolor="#4C83BA" strokecolor="#FFFFFF" strokeweight="2.00pt">
                    <v:path textboxrect="0,0,0,0"/>
                    <v:textbox>
                      <w:txbxContent>
                        <w:p>
                          <w:pPr>
                            <w:jc w:val="center"/>
                          </w:pPr>
                          <w:r/>
                          <w:r/>
                        </w:p>
                      </w:txbxContent>
                    </v:textbox>
                  </v:shape>
                  <v:shape id="shape 28" o:spid="_x0000_s28" o:spt="1" style="position:absolute;left:0;top:131;width:15994;height:9487;v-text-anchor:middle;" coordsize="100000,100000" path="" filled="f" strokecolor="#4F81BD" strokeweight="1.00pt">
                    <v:path textboxrect="0,0,0,0"/>
                    <v:textbox>
                      <w:txbxContent>
                        <w:p>
                          <w:pPr>
                            <w:rPr>
                              <w:b/>
                            </w:rPr>
                          </w:pPr>
                          <w:r>
                            <w:rPr>
                              <w:b/>
                              <w:color w:val="FFFFFF"/>
                            </w:rPr>
                            <w:t xml:space="preserve">Оформить полис медицинского страхования</w:t>
                          </w:r>
                          <w:r>
                            <w:rPr>
                              <w:b/>
                            </w:rPr>
                          </w:r>
                          <w:r/>
                        </w:p>
                      </w:txbxContent>
                    </v:textbox>
                  </v:shape>
                </v:group>
              </v:group>
            </w:pict>
          </mc:Fallback>
        </mc:AlternateContent>
      </w:r>
      <w:r>
        <w:rPr>
          <w:rFonts w:ascii="Cambria" w:hAnsi="Cambria" w:cs="Times New Roman"/>
          <w:sz w:val="24"/>
          <w:szCs w:val="24"/>
          <w:lang w:eastAsia="ru-RU"/>
        </w:rPr>
      </w:r>
      <w:r/>
    </w:p>
    <w:p>
      <w:pPr>
        <w:jc w:val="both"/>
        <w:spacing w:lineRule="auto" w:line="240" w:after="0"/>
        <w:rPr>
          <w:rFonts w:ascii="Cambria" w:hAnsi="Cambria" w:cs="Times New Roman"/>
          <w:sz w:val="24"/>
          <w:szCs w:val="24"/>
        </w:rPr>
      </w:pPr>
      <w:r>
        <w:rPr>
          <w:rFonts w:ascii="Cambria" w:hAnsi="Cambria" w:cs="Times New Roman"/>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ПЕРЕСЕЧЕНИЕ ГРАНИЦЫРОССИЙСКОЙ ФЕДЕРАЦИИ И ОФОРМЛЕНИЕ </w:t>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МИГРАЦИОННОЙ КАРТЫ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0"/>
        <w:jc w:val="both"/>
        <w:spacing w:lineRule="auto" w:line="240" w:after="0"/>
        <w:rPr>
          <w:rFonts w:ascii="Cambria" w:hAnsi="Cambria" w:cs="Times New Roman"/>
          <w:sz w:val="24"/>
          <w:szCs w:val="24"/>
        </w:rPr>
      </w:pPr>
      <w:r>
        <w:rPr>
          <w:rFonts w:ascii="Cambria" w:hAnsi="Cambria" w:cs="Times New Roman"/>
          <w:sz w:val="24"/>
          <w:szCs w:val="24"/>
          <w:lang w:eastAsia="ru-RU"/>
        </w:rPr>
      </w:r>
      <w:r>
        <w:rPr>
          <w:rFonts w:ascii="Cambria" w:hAnsi="Cambria" w:cs="Times New Roman"/>
          <w:sz w:val="24"/>
          <w:szCs w:val="24"/>
          <w:lang w:eastAsia="ru-RU"/>
        </w:rPr>
        <mc:AlternateContent>
          <mc:Choice Requires="wpg">
            <w:drawing>
              <wp:inline xmlns:wp="http://schemas.openxmlformats.org/drawingml/2006/wordprocessingDrawing" distT="0" distB="0" distL="0" distR="0">
                <wp:extent cx="6239082" cy="3143174"/>
                <wp:effectExtent l="0" t="0" r="0" b="0"/>
                <wp:docPr id="6" name="" hidden="false"/>
                <wp:cNvGraphicFramePr/>
                <a:graphic xmlns:a="http://schemas.openxmlformats.org/drawingml/2006/main">
                  <a:graphicData uri="http://schemas.microsoft.com/office/word/2010/wordprocessingGroup">
                    <wpg:wgp>
                      <wpg:cNvGrpSpPr/>
                      <wpg:grpSpPr bwMode="auto">
                        <a:xfrm>
                          <a:off x="0" y="0"/>
                          <a:ext cx="6239081" cy="3143173"/>
                          <a:chOff x="0" y="0"/>
                          <a:chExt cx="6239081" cy="3143173"/>
                        </a:xfrm>
                      </wpg:grpSpPr>
                      <wps:wsp>
                        <wps:cNvSpPr/>
                        <wps:spPr bwMode="auto">
                          <a:xfrm flipH="0" flipV="0">
                            <a:off x="3158233" y="650117"/>
                            <a:ext cx="163629" cy="484861"/>
                          </a:xfrm>
                          <a:custGeom>
                            <a:avLst>
                              <a:gd name="adj0" fmla="val 0"/>
                              <a:gd name="adj1" fmla="val 0"/>
                              <a:gd name="adj2" fmla="val 0"/>
                            </a:avLst>
                            <a:gdLst>
                              <a:gd name="gd0" fmla="val 65536"/>
                              <a:gd name="gd1" fmla="val 113578"/>
                              <a:gd name="gd2" fmla="val 0"/>
                              <a:gd name="gd3" fmla="+- gd1 0 0"/>
                              <a:gd name="gd4" fmla="+- gd2 100000 0"/>
                              <a:gd name="gd5" fmla="val 49996"/>
                              <a:gd name="gd6" fmla="val 100000"/>
                              <a:gd name="gd7" fmla="*/ w 0 100000"/>
                              <a:gd name="gd8" fmla="*/ h 0 100000"/>
                              <a:gd name="gd9" fmla="*/ w 0 100000"/>
                              <a:gd name="gd10" fmla="*/ h 0 100000"/>
                            </a:gdLst>
                            <a:ahLst/>
                            <a:cxnLst/>
                            <a:rect l="gd7" t="gd8" r="gd9" b="gd10"/>
                            <a:pathLst>
                              <a:path w="100000" h="100000" fill="norm" stroke="1" extrusionOk="0">
                                <a:moveTo>
                                  <a:pt x="gd1" y="gd2"/>
                                </a:moveTo>
                                <a:lnTo>
                                  <a:pt x="gd3" y="gd4"/>
                                </a:lnTo>
                                <a:lnTo>
                                  <a:pt x="gd5" y="gd6"/>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flipH="0" flipV="0">
                            <a:off x="3436252" y="650117"/>
                            <a:ext cx="1065572" cy="873342"/>
                          </a:xfrm>
                          <a:custGeom>
                            <a:avLst>
                              <a:gd name="adj0" fmla="val 0"/>
                              <a:gd name="adj1" fmla="val 0"/>
                              <a:gd name="adj2" fmla="val 0"/>
                            </a:avLst>
                            <a:gdLst>
                              <a:gd name="gd0" fmla="val 65536"/>
                              <a:gd name="gd1" fmla="val 0"/>
                              <a:gd name="gd2" fmla="val 0"/>
                              <a:gd name="gd3" fmla="val 0"/>
                              <a:gd name="gd4" fmla="val 92020"/>
                              <a:gd name="gd5" fmla="+- gd3 100000 0"/>
                              <a:gd name="gd6" fmla="+- gd4 0 0"/>
                              <a:gd name="gd7" fmla="val 100000"/>
                              <a:gd name="gd8" fmla="val 99999"/>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flipH="0" flipV="0">
                            <a:off x="3436252" y="658764"/>
                            <a:ext cx="2237147" cy="864695"/>
                          </a:xfrm>
                          <a:custGeom>
                            <a:avLst>
                              <a:gd name="adj0" fmla="val 0"/>
                              <a:gd name="adj1" fmla="val 0"/>
                              <a:gd name="adj2" fmla="val 0"/>
                            </a:avLst>
                            <a:gdLst>
                              <a:gd name="gd0" fmla="val 65536"/>
                              <a:gd name="gd1" fmla="val 0"/>
                              <a:gd name="gd2" fmla="val 0"/>
                              <a:gd name="gd3" fmla="val 0"/>
                              <a:gd name="gd4" fmla="val 92938"/>
                              <a:gd name="gd5" fmla="+- gd3 100000 0"/>
                              <a:gd name="gd6" fmla="+- gd4 0 0"/>
                              <a:gd name="gd7" fmla="val 100000"/>
                              <a:gd name="gd8" fmla="val 100000"/>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flipH="0" flipV="0">
                            <a:off x="1200702" y="628108"/>
                            <a:ext cx="2198796" cy="983418"/>
                          </a:xfrm>
                          <a:custGeom>
                            <a:avLst>
                              <a:gd name="adj0" fmla="val 0"/>
                              <a:gd name="adj1" fmla="val 0"/>
                              <a:gd name="adj2" fmla="val 0"/>
                            </a:avLst>
                            <a:gdLst>
                              <a:gd name="gd0" fmla="val 65536"/>
                              <a:gd name="gd1" fmla="val 100000"/>
                              <a:gd name="gd2" fmla="val 0"/>
                              <a:gd name="gd3" fmla="+- gd1 0 0"/>
                              <a:gd name="gd4" fmla="+- gd2 92827 0"/>
                              <a:gd name="gd5" fmla="val 0"/>
                              <a:gd name="gd6" fmla="val 92827"/>
                              <a:gd name="gd7" fmla="+- gd5 0 0"/>
                              <a:gd name="gd8" fmla="+- gd6 7169 0"/>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txbx>
                          <w:txbxContent>
                            <w:p>
                              <w:pPr>
                                <w:jc w:val="center"/>
                              </w:pPr>
                              <w:r/>
                              <w:r/>
                            </w:p>
                          </w:txbxContent>
                        </wps:txbx>
                        <wps:bodyPr wrap="square" anchor="ctr"/>
                      </wps:wsp>
                      <wpg:grpSp>
                        <wpg:cNvGrpSpPr/>
                        <wpg:grpSpPr bwMode="auto">
                          <a:xfrm>
                            <a:off x="929352" y="0"/>
                            <a:ext cx="4737691" cy="679573"/>
                            <a:chOff x="0" y="0"/>
                            <a:chExt cx="4737691" cy="679573"/>
                          </a:xfrm>
                        </wpg:grpSpPr>
                        <wps:wsp>
                          <wps:cNvSpPr/>
                          <wps:spPr bwMode="auto">
                            <a:xfrm>
                              <a:off x="0" y="0"/>
                              <a:ext cx="4737691" cy="679573"/>
                            </a:xfrm>
                            <a:prstGeom prst="rect">
                              <a:avLst/>
                            </a:prstGeom>
                            <a:blipFill>
                              <a:blip r:embed="rId14"/>
                              <a:stretch/>
                            </a:blipFill>
                            <a:ln w="25400">
                              <a:solidFill>
                                <a:srgbClr val="FFFFFF"/>
                              </a:solidFill>
                              <a:miter/>
                            </a:ln>
                          </wps:spPr>
                          <wps:bodyPr rot="0">
                            <a:prstTxWarp prst="textNoShape">
                              <a:avLst/>
                            </a:prstTxWarp>
                            <a:noAutofit/>
                          </wps:bodyPr>
                        </wps:wsp>
                        <wps:wsp>
                          <wps:cNvSpPr/>
                          <wps:spPr bwMode="auto">
                            <a:xfrm flipH="0" flipV="0">
                              <a:off x="75344" y="18973"/>
                              <a:ext cx="4583961" cy="628650"/>
                            </a:xfrm>
                            <a:prstGeom prst="rect">
                              <a:avLst/>
                            </a:prstGeom>
                            <a:noFill/>
                            <a:ln w="12700">
                              <a:solidFill>
                                <a:schemeClr val="accent1"/>
                              </a:solidFill>
                              <a:prstDash val="solid"/>
                              <a:miter/>
                            </a:ln>
                          </wps:spPr>
                          <wps:txbx>
                            <w:txbxContent>
                              <w:p>
                                <w:pPr>
                                  <w:rPr>
                                    <w:b/>
                                    <w:color w:val="FFFFFF"/>
                                  </w:rPr>
                                </w:pPr>
                                <w:r>
                                  <w:rPr>
                                    <w:b/>
                                    <w:color w:val="FFFFFF"/>
                                  </w:rPr>
                                  <w:t xml:space="preserve">Пресечь границу России законным образом: любым видом транспорта или пешком, но обязательно – в пункте пропуска чере</w:t>
                                </w:r>
                                <w:r>
                                  <w:rPr>
                                    <w:b/>
                                    <w:color w:val="FFFFFF" w:themeColor="background1"/>
                                  </w:rPr>
                                  <w:t xml:space="preserve">з границу.</w:t>
                                </w:r>
                                <w:r>
                                  <w:rPr>
                                    <w:b/>
                                    <w:color w:val="FFFFFF"/>
                                  </w:rPr>
                                </w:r>
                                <w:r/>
                              </w:p>
                            </w:txbxContent>
                          </wps:txbx>
                          <wps:bodyPr wrap="square" anchor="ctr"/>
                        </wps:wsp>
                      </wpg:grpSp>
                      <wpg:grpSp>
                        <wpg:cNvGrpSpPr/>
                        <wpg:grpSpPr bwMode="auto">
                          <a:xfrm>
                            <a:off x="0" y="1611527"/>
                            <a:ext cx="2139624" cy="1531644"/>
                            <a:chOff x="0" y="0"/>
                            <a:chExt cx="2139624" cy="1531644"/>
                          </a:xfrm>
                        </wpg:grpSpPr>
                        <wps:wsp>
                          <wps:cNvSpPr/>
                          <wps:spPr bwMode="auto">
                            <a:xfrm flipH="0" flipV="0">
                              <a:off x="0" y="0"/>
                              <a:ext cx="2139624" cy="1531644"/>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19049"/>
                              <a:ext cx="2130099" cy="1503069"/>
                            </a:xfrm>
                            <a:prstGeom prst="rect">
                              <a:avLst/>
                            </a:prstGeom>
                            <a:noFill/>
                            <a:ln w="12700">
                              <a:solidFill>
                                <a:schemeClr val="accent1"/>
                              </a:solidFill>
                              <a:prstDash val="solid"/>
                              <a:miter/>
                            </a:ln>
                          </wps:spPr>
                          <wps:txbx>
                            <w:txbxContent>
                              <w:p>
                                <w:r>
                                  <w:rPr>
                                    <w:b/>
                                    <w:color w:val="FFFFFF"/>
                                    <w:sz w:val="21"/>
                                    <w:szCs w:val="21"/>
                                  </w:rPr>
                                  <w:t xml:space="preserve">Постановка на миграционный учет не позднее 7 дней после прибытия в место пребывания;</w:t>
                                </w:r>
                                <w:r/>
                              </w:p>
                              <w:p>
                                <w:pPr>
                                  <w:rPr>
                                    <w:b/>
                                    <w:color w:val="FFFFFF"/>
                                  </w:rPr>
                                </w:pPr>
                                <w:r>
                                  <w:rPr>
                                    <w:b/>
                                    <w:color w:val="FFFFFF" w:themeColor="background1"/>
                                    <w:sz w:val="21"/>
                                    <w:szCs w:val="21"/>
                                  </w:rPr>
                                  <w:t xml:space="preserve">для граждан стран ЕАЭС - 30 дней; для граждан Республики Таджикистан - 15 дней</w:t>
                                </w:r>
                                <w:r>
                                  <w:rPr>
                                    <w:b/>
                                    <w:color w:val="FFFFFF" w:themeColor="background1"/>
                                  </w:rPr>
                                  <w:t xml:space="preserve">.</w:t>
                                </w:r>
                                <w:r>
                                  <w:rPr>
                                    <w:b/>
                                    <w:color w:val="FFFFFF"/>
                                  </w:rPr>
                                </w:r>
                                <w:r/>
                              </w:p>
                            </w:txbxContent>
                          </wps:txbx>
                          <wps:bodyPr wrap="square" anchor="ctr"/>
                        </wps:wsp>
                      </wpg:grpSp>
                      <wpg:grpSp>
                        <wpg:cNvGrpSpPr/>
                        <wpg:grpSpPr bwMode="auto">
                          <a:xfrm>
                            <a:off x="2368224" y="1609648"/>
                            <a:ext cx="1696922" cy="1523999"/>
                            <a:chOff x="0" y="0"/>
                            <a:chExt cx="1696922" cy="1523999"/>
                          </a:xfrm>
                        </wpg:grpSpPr>
                        <wps:wsp>
                          <wps:cNvSpPr/>
                          <wps:spPr bwMode="auto">
                            <a:xfrm flipH="0" flipV="0">
                              <a:off x="0" y="0"/>
                              <a:ext cx="1696922" cy="1523999"/>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19049" y="28575"/>
                              <a:ext cx="1677872" cy="1486474"/>
                            </a:xfrm>
                            <a:prstGeom prst="rect">
                              <a:avLst/>
                            </a:prstGeom>
                            <a:noFill/>
                            <a:ln w="12700">
                              <a:solidFill>
                                <a:schemeClr val="accent1"/>
                              </a:solidFill>
                              <a:prstDash val="solid"/>
                              <a:miter/>
                            </a:ln>
                          </wps:spPr>
                          <wps:txbx>
                            <w:txbxContent>
                              <w:p>
                                <w:r>
                                  <w:rPr>
                                    <w:b/>
                                    <w:color w:val="FFFFFF" w:themeColor="background1"/>
                                    <w:sz w:val="21"/>
                                    <w:szCs w:val="21"/>
                                  </w:rPr>
                                  <w:t xml:space="preserve">Встать на миграционный учет в территориальном органе по вопросам миграции по месту регистрации или в многофункциональном центре (МФЦ)</w:t>
                                </w:r>
                                <w:r>
                                  <w:rPr>
                                    <w:b/>
                                    <w:color w:val="FFFFFF" w:themeColor="background1"/>
                                  </w:rPr>
                                  <w:t xml:space="preserve">.</w:t>
                                </w:r>
                                <w:r/>
                              </w:p>
                            </w:txbxContent>
                          </wps:txbx>
                          <wps:bodyPr wrap="square" anchor="ctr"/>
                        </wps:wsp>
                      </wpg:grpSp>
                      <wpg:grpSp>
                        <wpg:cNvGrpSpPr/>
                        <wpg:grpSpPr bwMode="auto">
                          <a:xfrm>
                            <a:off x="4166247" y="1544370"/>
                            <a:ext cx="830877" cy="1369739"/>
                            <a:chOff x="0" y="0"/>
                            <a:chExt cx="830877" cy="1369739"/>
                          </a:xfrm>
                        </wpg:grpSpPr>
                        <wps:wsp>
                          <wps:cNvSpPr/>
                          <wps:spPr bwMode="auto">
                            <a:xfrm flipH="0" flipV="0">
                              <a:off x="0" y="0"/>
                              <a:ext cx="830877" cy="1369739"/>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0"/>
                              <a:ext cx="811827" cy="1358078"/>
                            </a:xfrm>
                            <a:prstGeom prst="rect">
                              <a:avLst/>
                            </a:prstGeom>
                            <a:noFill/>
                            <a:ln w="12700">
                              <a:solidFill>
                                <a:schemeClr val="accent1"/>
                              </a:solidFill>
                              <a:prstDash val="solid"/>
                              <a:miter/>
                            </a:ln>
                          </wps:spPr>
                          <wps:txbx>
                            <w:txbxContent>
                              <w:p>
                                <w:r>
                                  <w:rPr>
                                    <w:b/>
                                    <w:color w:val="FFFFFF" w:themeColor="background1"/>
                                    <w:sz w:val="21"/>
                                    <w:szCs w:val="21"/>
                                  </w:rPr>
                                  <w:t xml:space="preserve">Оформить миграционный учет через почту России</w:t>
                                </w:r>
                                <w:r>
                                  <w:rPr>
                                    <w:b/>
                                    <w:color w:val="FFFFFF" w:themeColor="background1"/>
                                  </w:rPr>
                                  <w:t xml:space="preserve">.</w:t>
                                </w:r>
                                <w:r/>
                              </w:p>
                            </w:txbxContent>
                          </wps:txbx>
                          <wps:bodyPr wrap="square" anchor="ctr"/>
                        </wps:wsp>
                      </wpg:grpSp>
                      <wpg:grpSp>
                        <wpg:cNvGrpSpPr/>
                        <wpg:grpSpPr bwMode="auto">
                          <a:xfrm>
                            <a:off x="5112354" y="1523459"/>
                            <a:ext cx="1126726" cy="1400638"/>
                            <a:chOff x="0" y="0"/>
                            <a:chExt cx="1126726" cy="1400638"/>
                          </a:xfrm>
                        </wpg:grpSpPr>
                        <wps:wsp>
                          <wps:cNvSpPr/>
                          <wps:spPr bwMode="auto">
                            <a:xfrm flipH="0" flipV="0">
                              <a:off x="0" y="0"/>
                              <a:ext cx="1126726" cy="1400638"/>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7467" y="5460"/>
                              <a:ext cx="1103837" cy="1373527"/>
                            </a:xfrm>
                            <a:prstGeom prst="rect">
                              <a:avLst/>
                            </a:prstGeom>
                            <a:noFill/>
                            <a:ln w="12700">
                              <a:solidFill>
                                <a:schemeClr val="accent1"/>
                              </a:solidFill>
                              <a:prstDash val="solid"/>
                              <a:miter/>
                            </a:ln>
                          </wps:spPr>
                          <wps:txbx>
                            <w:txbxContent>
                              <w:p>
                                <w:pPr>
                                  <w:rPr>
                                    <w:b/>
                                    <w:color w:val="FFFFFF"/>
                                    <w:sz w:val="20"/>
                                  </w:rPr>
                                </w:pPr>
                                <w:r>
                                  <w:rPr>
                                    <w:b/>
                                    <w:color w:val="FFFFFF" w:themeColor="background1"/>
                                    <w:sz w:val="20"/>
                                  </w:rPr>
                                  <w:t xml:space="preserve">Оформить миграционный учет на Едином портале Госуслуг.</w:t>
                                </w:r>
                                <w:r>
                                  <w:rPr>
                                    <w:b/>
                                    <w:color w:val="FFFFFF"/>
                                    <w:sz w:val="20"/>
                                  </w:rPr>
                                </w:r>
                                <w:r/>
                              </w:p>
                            </w:txbxContent>
                          </wps:txbx>
                          <wps:bodyPr wrap="square" anchor="ctr"/>
                        </wps:wsp>
                      </wpg:grpSp>
                      <wpg:grpSp>
                        <wpg:cNvGrpSpPr/>
                        <wpg:grpSpPr bwMode="auto">
                          <a:xfrm>
                            <a:off x="0" y="775198"/>
                            <a:ext cx="3240048" cy="643950"/>
                            <a:chOff x="0" y="0"/>
                            <a:chExt cx="3240048" cy="643950"/>
                          </a:xfrm>
                        </wpg:grpSpPr>
                        <wps:wsp>
                          <wps:cNvSpPr/>
                          <wps:spPr bwMode="auto">
                            <a:xfrm flipH="0" flipV="0">
                              <a:off x="0" y="0"/>
                              <a:ext cx="3240048" cy="643950"/>
                            </a:xfrm>
                            <a:prstGeom prst="rect">
                              <a:avLst/>
                            </a:prstGeom>
                            <a:solidFill>
                              <a:srgbClr val="4C83BA"/>
                            </a:solidFill>
                            <a:ln w="25400">
                              <a:solidFill>
                                <a:srgbClr val="FFFFFF"/>
                              </a:solidFill>
                              <a:miter/>
                            </a:ln>
                          </wps:spPr>
                          <wps:bodyPr rot="0">
                            <a:prstTxWarp prst="textNoShape">
                              <a:avLst/>
                            </a:prstTxWarp>
                            <a:noAutofit/>
                          </wps:bodyPr>
                        </wps:wsp>
                        <wps:wsp>
                          <wps:cNvSpPr/>
                          <wps:spPr bwMode="auto">
                            <a:xfrm flipH="0" flipV="0">
                              <a:off x="0" y="8532"/>
                              <a:ext cx="3217993" cy="626885"/>
                            </a:xfrm>
                            <a:prstGeom prst="rect">
                              <a:avLst/>
                            </a:prstGeom>
                            <a:noFill/>
                            <a:ln w="12700">
                              <a:solidFill>
                                <a:schemeClr val="accent1"/>
                              </a:solidFill>
                              <a:prstDash val="solid"/>
                              <a:miter/>
                            </a:ln>
                          </wps:spPr>
                          <wps:txbx>
                            <w:txbxContent>
                              <w:p>
                                <w:pPr>
                                  <w:rPr>
                                    <w:b/>
                                    <w:color w:val="FFFFFF"/>
                                  </w:rPr>
                                </w:pPr>
                                <w:r>
                                  <w:rPr>
                                    <w:b/>
                                    <w:color w:val="FFFFFF" w:themeColor="background1"/>
                                    <w:sz w:val="21"/>
                                    <w:szCs w:val="21"/>
                                  </w:rPr>
                                  <w:t xml:space="preserve">В пункте пропуска через Государственную границу России предъявить паспорт, миграционную карту, визу (если необходимо)</w:t>
                                </w:r>
                                <w:r>
                                  <w:rPr>
                                    <w:b/>
                                    <w:color w:val="FFFFFF" w:themeColor="background1"/>
                                  </w:rPr>
                                  <w:t xml:space="preserve">.</w:t>
                                </w:r>
                                <w:r>
                                  <w:rPr>
                                    <w:b/>
                                    <w:color w:val="FFFFFF"/>
                                  </w:rPr>
                                </w:r>
                                <w:r/>
                              </w:p>
                            </w:txbxContent>
                          </wps:txbx>
                          <wps:bodyPr wrap="square" anchor="ctr"/>
                        </wps:wsp>
                      </wpg:grpSp>
                    </wpg:wgp>
                  </a:graphicData>
                </a:graphic>
              </wp:inline>
            </w:drawing>
          </mc:Choice>
          <mc:Fallback>
            <w:pict>
              <v:group id="group 29" o:spid="_x0000_s0000" style="mso-wrap-distance-left:0.0pt;mso-wrap-distance-top:0.0pt;mso-wrap-distance-right:0.0pt;mso-wrap-distance-bottom:0.0pt;width:491.3pt;height:247.5pt;" coordorigin="0,0" coordsize="62390,31431">
                <v:shape id="shape 30" o:spid="_x0000_s30" style="position:absolute;left:31582;top:6501;width:1636;height:4848;" coordsize="100000,100000" path="m113575,0l113575,100000l49990,100000ee" filled="f" strokecolor="#2C4D6E" strokeweight="2.00pt">
                  <v:path textboxrect="0,0,0,0"/>
                </v:shape>
                <v:shape id="shape 31" o:spid="_x0000_s31" style="position:absolute;left:34362;top:6501;width:10655;height:8733;" coordsize="100000,100000" path="m0,0l0,92019l100000,92019l100000,99998ee" filled="f" strokecolor="#2C4D6E" strokeweight="2.00pt">
                  <v:path textboxrect="0,0,0,0"/>
                </v:shape>
                <v:shape id="shape 32" o:spid="_x0000_s32" style="position:absolute;left:34362;top:6587;width:22371;height:8646;" coordsize="100000,100000" path="m0,0l0,92936l100000,92936l100000,99997ee" filled="f" strokecolor="#2C4D6E" strokeweight="2.00pt">
                  <v:path textboxrect="0,0,0,0"/>
                </v:shape>
                <v:shape id="shape 33" o:spid="_x0000_s33" style="position:absolute;left:12007;top:6281;width:21987;height:9834;v-text-anchor:middle;" coordsize="100000,100000" path="m100000,0l100000,92825l0,92825l0,99993ee" filled="f" strokecolor="#2C4D6E" strokeweight="2.00pt">
                  <v:path textboxrect="0,0,0,0"/>
                  <v:textbox>
                    <w:txbxContent>
                      <w:p>
                        <w:pPr>
                          <w:jc w:val="center"/>
                        </w:pPr>
                        <w:r/>
                        <w:r/>
                      </w:p>
                    </w:txbxContent>
                  </v:textbox>
                </v:shape>
                <v:group id="group 34" o:spid="_x0000_s0000" style="position:absolute;left:9293;top:0;width:47376;height:6795;" coordorigin="0,0" coordsize="47376,6795">
                  <v:shape id="shape 35" o:spid="_x0000_s35" o:spt="1" style="position:absolute;left:0;top:0;width:47376;height:6795;" coordsize="100000,100000" path="" strokecolor="#FFFFFF" strokeweight="2.00pt">
                    <v:path textboxrect="0,0,0,0"/>
                    <v:fill r:id="rId14" o:title="" type="frame"/>
                  </v:shape>
                  <v:shape id="shape 36" o:spid="_x0000_s36" o:spt="1" style="position:absolute;left:753;top:189;width:45839;height:6286;v-text-anchor:middle;" coordsize="100000,100000" path="" filled="f" strokecolor="#4F81BD" strokeweight="1.00pt">
                    <v:path textboxrect="0,0,0,0"/>
                    <v:textbox>
                      <w:txbxContent>
                        <w:p>
                          <w:pPr>
                            <w:rPr>
                              <w:b/>
                              <w:color w:val="FFFFFF"/>
                            </w:rPr>
                          </w:pPr>
                          <w:r>
                            <w:rPr>
                              <w:b/>
                              <w:color w:val="FFFFFF"/>
                            </w:rPr>
                            <w:t xml:space="preserve">Пресечь границу России законным образом: любым видом транспорта или пешком, но обязательно – в пункте пропуска чере</w:t>
                          </w:r>
                          <w:r>
                            <w:rPr>
                              <w:b/>
                              <w:color w:val="FFFFFF" w:themeColor="background1"/>
                            </w:rPr>
                            <w:t xml:space="preserve">з границу.</w:t>
                          </w:r>
                          <w:r>
                            <w:rPr>
                              <w:b/>
                              <w:color w:val="FFFFFF"/>
                            </w:rPr>
                          </w:r>
                          <w:r/>
                        </w:p>
                      </w:txbxContent>
                    </v:textbox>
                  </v:shape>
                </v:group>
                <v:group id="group 37" o:spid="_x0000_s0000" style="position:absolute;left:0;top:16115;width:21396;height:15316;" coordorigin="0,0" coordsize="21396,15316">
                  <v:shape id="shape 38" o:spid="_x0000_s38" o:spt="1" style="position:absolute;left:0;top:0;width:21396;height:15316;" coordsize="100000,100000" path="" fillcolor="#4C83BA" strokecolor="#FFFFFF" strokeweight="2.00pt">
                    <v:path textboxrect="0,0,0,0"/>
                  </v:shape>
                  <v:shape id="shape 39" o:spid="_x0000_s39" o:spt="1" style="position:absolute;left:0;top:190;width:21300;height:15030;v-text-anchor:middle;" coordsize="100000,100000" path="" filled="f" strokecolor="#4F81BD" strokeweight="1.00pt">
                    <v:path textboxrect="0,0,0,0"/>
                    <v:textbox>
                      <w:txbxContent>
                        <w:p>
                          <w:r>
                            <w:rPr>
                              <w:b/>
                              <w:color w:val="FFFFFF"/>
                              <w:sz w:val="21"/>
                              <w:szCs w:val="21"/>
                            </w:rPr>
                            <w:t xml:space="preserve">Постановка на миграционный учет не позднее 7 дней после прибытия в место пребывания;</w:t>
                          </w:r>
                          <w:r/>
                        </w:p>
                        <w:p>
                          <w:pPr>
                            <w:rPr>
                              <w:b/>
                              <w:color w:val="FFFFFF"/>
                            </w:rPr>
                          </w:pPr>
                          <w:r>
                            <w:rPr>
                              <w:b/>
                              <w:color w:val="FFFFFF" w:themeColor="background1"/>
                              <w:sz w:val="21"/>
                              <w:szCs w:val="21"/>
                            </w:rPr>
                            <w:t xml:space="preserve">для граждан стран ЕАЭС - 30 дней; для граждан Республики Таджикистан - 15 дней</w:t>
                          </w:r>
                          <w:r>
                            <w:rPr>
                              <w:b/>
                              <w:color w:val="FFFFFF" w:themeColor="background1"/>
                            </w:rPr>
                            <w:t xml:space="preserve">.</w:t>
                          </w:r>
                          <w:r>
                            <w:rPr>
                              <w:b/>
                              <w:color w:val="FFFFFF"/>
                            </w:rPr>
                          </w:r>
                          <w:r/>
                        </w:p>
                      </w:txbxContent>
                    </v:textbox>
                  </v:shape>
                </v:group>
                <v:group id="group 40" o:spid="_x0000_s0000" style="position:absolute;left:23682;top:16096;width:16969;height:15239;" coordorigin="0,0" coordsize="16969,15239">
                  <v:shape id="shape 41" o:spid="_x0000_s41" o:spt="1" style="position:absolute;left:0;top:0;width:16969;height:15239;" coordsize="100000,100000" path="" fillcolor="#4C83BA" strokecolor="#FFFFFF" strokeweight="2.00pt">
                    <v:path textboxrect="0,0,0,0"/>
                  </v:shape>
                  <v:shape id="shape 42" o:spid="_x0000_s42" o:spt="1" style="position:absolute;left:190;top:285;width:16778;height:14864;v-text-anchor:middle;" coordsize="100000,100000" path="" filled="f" strokecolor="#4F81BD" strokeweight="1.00pt">
                    <v:path textboxrect="0,0,0,0"/>
                    <v:textbox>
                      <w:txbxContent>
                        <w:p>
                          <w:r>
                            <w:rPr>
                              <w:b/>
                              <w:color w:val="FFFFFF" w:themeColor="background1"/>
                              <w:sz w:val="21"/>
                              <w:szCs w:val="21"/>
                            </w:rPr>
                            <w:t xml:space="preserve">Встать на миграционный учет в территориальном органе по вопросам миграции по месту регистрации или в многофункциональном центре (МФЦ)</w:t>
                          </w:r>
                          <w:r>
                            <w:rPr>
                              <w:b/>
                              <w:color w:val="FFFFFF" w:themeColor="background1"/>
                            </w:rPr>
                            <w:t xml:space="preserve">.</w:t>
                          </w:r>
                          <w:r/>
                        </w:p>
                      </w:txbxContent>
                    </v:textbox>
                  </v:shape>
                </v:group>
                <v:group id="group 43" o:spid="_x0000_s0000" style="position:absolute;left:41662;top:15443;width:8308;height:13697;" coordorigin="0,0" coordsize="8308,13697">
                  <v:shape id="shape 44" o:spid="_x0000_s44" o:spt="1" style="position:absolute;left:0;top:0;width:8308;height:13697;" coordsize="100000,100000" path="" fillcolor="#4C83BA" strokecolor="#FFFFFF" strokeweight="2.00pt">
                    <v:path textboxrect="0,0,0,0"/>
                  </v:shape>
                  <v:shape id="shape 45" o:spid="_x0000_s45" o:spt="1" style="position:absolute;left:0;top:0;width:8118;height:13580;v-text-anchor:middle;" coordsize="100000,100000" path="" filled="f" strokecolor="#4F81BD" strokeweight="1.00pt">
                    <v:path textboxrect="0,0,0,0"/>
                    <v:textbox>
                      <w:txbxContent>
                        <w:p>
                          <w:r>
                            <w:rPr>
                              <w:b/>
                              <w:color w:val="FFFFFF" w:themeColor="background1"/>
                              <w:sz w:val="21"/>
                              <w:szCs w:val="21"/>
                            </w:rPr>
                            <w:t xml:space="preserve">Оформить миграционный учет через почту России</w:t>
                          </w:r>
                          <w:r>
                            <w:rPr>
                              <w:b/>
                              <w:color w:val="FFFFFF" w:themeColor="background1"/>
                            </w:rPr>
                            <w:t xml:space="preserve">.</w:t>
                          </w:r>
                          <w:r/>
                        </w:p>
                      </w:txbxContent>
                    </v:textbox>
                  </v:shape>
                </v:group>
                <v:group id="group 46" o:spid="_x0000_s0000" style="position:absolute;left:51123;top:15234;width:11267;height:14006;" coordorigin="0,0" coordsize="11267,14006">
                  <v:shape id="shape 47" o:spid="_x0000_s47" o:spt="1" style="position:absolute;left:0;top:0;width:11267;height:14006;" coordsize="100000,100000" path="" fillcolor="#4C83BA" strokecolor="#FFFFFF" strokeweight="2.00pt">
                    <v:path textboxrect="0,0,0,0"/>
                  </v:shape>
                  <v:shape id="shape 48" o:spid="_x0000_s48" o:spt="1" style="position:absolute;left:74;top:54;width:11038;height:13735;v-text-anchor:middle;" coordsize="100000,100000" path="" filled="f" strokecolor="#4F81BD" strokeweight="1.00pt">
                    <v:path textboxrect="0,0,0,0"/>
                    <v:textbox>
                      <w:txbxContent>
                        <w:p>
                          <w:pPr>
                            <w:rPr>
                              <w:b/>
                              <w:color w:val="FFFFFF"/>
                              <w:sz w:val="20"/>
                            </w:rPr>
                          </w:pPr>
                          <w:r>
                            <w:rPr>
                              <w:b/>
                              <w:color w:val="FFFFFF" w:themeColor="background1"/>
                              <w:sz w:val="20"/>
                            </w:rPr>
                            <w:t xml:space="preserve">Оформить миграционный учет на Едином портале Госуслуг.</w:t>
                          </w:r>
                          <w:r>
                            <w:rPr>
                              <w:b/>
                              <w:color w:val="FFFFFF"/>
                              <w:sz w:val="20"/>
                            </w:rPr>
                          </w:r>
                          <w:r/>
                        </w:p>
                      </w:txbxContent>
                    </v:textbox>
                  </v:shape>
                </v:group>
                <v:group id="group 49" o:spid="_x0000_s0000" style="position:absolute;left:0;top:7751;width:32400;height:6439;" coordorigin="0,0" coordsize="32400,6439">
                  <v:shape id="shape 50" o:spid="_x0000_s50" o:spt="1" style="position:absolute;left:0;top:0;width:32400;height:6439;" coordsize="100000,100000" path="" fillcolor="#4C83BA" strokecolor="#FFFFFF" strokeweight="2.00pt">
                    <v:path textboxrect="0,0,0,0"/>
                  </v:shape>
                  <v:shape id="shape 51" o:spid="_x0000_s51" o:spt="1" style="position:absolute;left:0;top:85;width:32179;height:6268;v-text-anchor:middle;" coordsize="100000,100000" path="" filled="f" strokecolor="#4F81BD" strokeweight="1.00pt">
                    <v:path textboxrect="0,0,0,0"/>
                    <v:textbox>
                      <w:txbxContent>
                        <w:p>
                          <w:pPr>
                            <w:rPr>
                              <w:b/>
                              <w:color w:val="FFFFFF"/>
                            </w:rPr>
                          </w:pPr>
                          <w:r>
                            <w:rPr>
                              <w:b/>
                              <w:color w:val="FFFFFF" w:themeColor="background1"/>
                              <w:sz w:val="21"/>
                              <w:szCs w:val="21"/>
                            </w:rPr>
                            <w:t xml:space="preserve">В пункте пропуска через Государственную границу России предъявить паспорт, миграционную карту, визу (если необходимо)</w:t>
                          </w:r>
                          <w:r>
                            <w:rPr>
                              <w:b/>
                              <w:color w:val="FFFFFF" w:themeColor="background1"/>
                            </w:rPr>
                            <w:t xml:space="preserve">.</w:t>
                          </w:r>
                          <w:r>
                            <w:rPr>
                              <w:b/>
                              <w:color w:val="FFFFFF"/>
                            </w:rPr>
                          </w:r>
                          <w:r/>
                        </w:p>
                      </w:txbxContent>
                    </v:textbox>
                  </v:shape>
                </v:group>
              </v:group>
            </w:pict>
          </mc:Fallback>
        </mc:AlternateContent>
      </w:r>
      <w:r>
        <w:rPr>
          <w:rFonts w:ascii="Cambria" w:hAnsi="Cambria" w:cs="Times New Roman"/>
          <w:sz w:val="24"/>
          <w:szCs w:val="24"/>
          <w:lang w:eastAsia="ru-RU"/>
        </w:rPr>
      </w:r>
      <w:r/>
    </w:p>
    <w:p>
      <w:pPr>
        <w:spacing w:lineRule="auto" w:line="240" w:after="0"/>
        <w:rPr>
          <w:rFonts w:ascii="Cambria" w:hAnsi="Cambria" w:cs="Times New Roman"/>
          <w:b/>
          <w:i/>
          <w:color w:val="FF0000"/>
          <w:sz w:val="24"/>
          <w:szCs w:val="24"/>
        </w:rPr>
      </w:pPr>
      <w:r>
        <w:rPr>
          <w:rFonts w:ascii="Cambria" w:hAnsi="Cambria" w:cs="Times New Roman"/>
          <w:b/>
          <w:i/>
          <w:color w:val="FF0000"/>
          <w:sz w:val="24"/>
          <w:szCs w:val="24"/>
        </w:rPr>
      </w:r>
      <w:r/>
    </w:p>
    <w:p>
      <w:pPr>
        <w:ind w:left="709" w:hanging="709"/>
        <w:jc w:val="center"/>
        <w:rPr>
          <w:rFonts w:ascii="Cambria" w:hAnsi="Cambria" w:cs="Times New Roman"/>
          <w:b/>
          <w:i/>
          <w:color w:val="FF0000"/>
          <w:sz w:val="24"/>
          <w:szCs w:val="24"/>
        </w:rPr>
        <w:pBdr>
          <w:left w:val="single" w:sz="4" w:space="0" w:color="auto"/>
          <w:top w:val="single" w:sz="4" w:space="1" w:color="auto"/>
          <w:right w:val="single" w:sz="4" w:space="4" w:color="auto"/>
          <w:bottom w:val="single" w:sz="4" w:space="1" w:color="auto"/>
        </w:pBdr>
      </w:pPr>
      <w:r>
        <w:rPr>
          <w:rFonts w:ascii="Cambria" w:hAnsi="Cambria" w:cs="Times New Roman"/>
          <w:b/>
          <w:i/>
          <w:color w:val="FF0000"/>
          <w:sz w:val="24"/>
          <w:szCs w:val="24"/>
        </w:rPr>
        <w:br w:type="page"/>
      </w:r>
      <w:r>
        <w:rPr>
          <w:rFonts w:ascii="Cambria" w:hAnsi="Cambria" w:cs="Times New Roman"/>
          <w:b/>
          <w:i/>
          <w:color w:val="FF0000"/>
          <w:sz w:val="24"/>
          <w:szCs w:val="24"/>
        </w:rPr>
        <w:t xml:space="preserve">ПРЕДУПРЕЖДЕНИЕ</w:t>
      </w:r>
      <w:r/>
    </w:p>
    <w:p>
      <w:pPr>
        <w:ind w:firstLine="709"/>
        <w:jc w:val="both"/>
        <w:spacing w:lineRule="auto" w:line="240" w:after="0"/>
        <w:rPr>
          <w:rFonts w:ascii="Cambria" w:hAnsi="Cambria" w:cs="Times New Roman"/>
          <w:color w:val="FF0000"/>
          <w:sz w:val="24"/>
          <w:szCs w:val="24"/>
        </w:rPr>
        <w:pBdr>
          <w:left w:val="single" w:sz="4" w:space="0" w:color="auto"/>
          <w:top w:val="single" w:sz="4" w:space="1" w:color="auto"/>
          <w:right w:val="single" w:sz="4" w:space="4" w:color="auto"/>
          <w:bottom w:val="single" w:sz="4" w:space="1" w:color="auto"/>
        </w:pBdr>
      </w:pPr>
      <w:r>
        <w:rPr>
          <w:rFonts w:ascii="Cambria" w:hAnsi="Cambria" w:cs="Times New Roman"/>
          <w:b/>
          <w:bCs/>
          <w:i/>
          <w:iCs/>
          <w:color w:val="FF0000"/>
          <w:sz w:val="24"/>
          <w:szCs w:val="24"/>
        </w:rPr>
        <w:t xml:space="preserve">Помните о сроке</w:t>
      </w:r>
      <w:r>
        <w:rPr>
          <w:rFonts w:ascii="Cambria" w:hAnsi="Cambria" w:cs="Times New Roman"/>
          <w:i/>
          <w:iCs/>
          <w:color w:val="FF0000"/>
          <w:sz w:val="24"/>
          <w:szCs w:val="24"/>
        </w:rPr>
        <w:t xml:space="preserve"> </w:t>
      </w:r>
      <w:r>
        <w:rPr>
          <w:rFonts w:ascii="Cambria" w:hAnsi="Cambria" w:cs="Times New Roman"/>
          <w:i/>
          <w:iCs/>
          <w:color w:val="FF0000"/>
          <w:sz w:val="24"/>
          <w:szCs w:val="24"/>
        </w:rPr>
        <w:t xml:space="preserve">действия Вашего паспорта. Если этот срок истечёт, обратно из России через границу Вас не пропустят, даже если Вы задержались</w:t>
      </w:r>
      <w:r>
        <w:rPr>
          <w:rFonts w:ascii="Cambria" w:hAnsi="Cambria" w:cs="Times New Roman"/>
          <w:i/>
          <w:iCs/>
          <w:color w:val="FF0000"/>
          <w:sz w:val="24"/>
          <w:szCs w:val="24"/>
        </w:rPr>
        <w:t xml:space="preserve"> с выездом всего на один день. </w:t>
      </w:r>
      <w:r>
        <w:rPr>
          <w:rFonts w:ascii="Cambria" w:hAnsi="Cambria" w:cs="Times New Roman"/>
          <w:i/>
          <w:iCs/>
          <w:color w:val="FF0000"/>
          <w:sz w:val="24"/>
          <w:szCs w:val="24"/>
        </w:rPr>
        <w:t xml:space="preserve">Выехать Вы сможете только когда продлите срок действия документа,</w:t>
      </w:r>
      <w:r>
        <w:rPr>
          <w:rFonts w:ascii="Cambria" w:hAnsi="Cambria" w:cs="Times New Roman"/>
          <w:i/>
          <w:iCs/>
          <w:color w:val="FF0000"/>
          <w:sz w:val="24"/>
          <w:szCs w:val="24"/>
        </w:rPr>
        <w:t xml:space="preserve"> либо получите свидетельство о  </w:t>
      </w:r>
      <w:r>
        <w:rPr>
          <w:rFonts w:ascii="Cambria" w:hAnsi="Cambria" w:cs="Times New Roman"/>
          <w:i/>
          <w:iCs/>
          <w:color w:val="FF0000"/>
          <w:sz w:val="24"/>
          <w:szCs w:val="24"/>
        </w:rPr>
        <w:t xml:space="preserve">возвращении на родину в своем консульстве или посольстве.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i/>
          <w:iCs/>
          <w:sz w:val="24"/>
          <w:szCs w:val="24"/>
        </w:rPr>
        <w:t xml:space="preserve">Документы, необходимые для въезда граждан отдельных стран без визы.</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Азербайджан</w:t>
      </w:r>
      <w:r>
        <w:rPr>
          <w:rFonts w:ascii="Cambria" w:hAnsi="Cambria" w:cs="Times New Roman"/>
          <w:i/>
          <w:iCs/>
          <w:sz w:val="24"/>
          <w:szCs w:val="24"/>
        </w:rPr>
        <w:t xml:space="preserve"> - общегражданский паспорт.</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Армения</w:t>
      </w:r>
      <w:r>
        <w:rPr>
          <w:rFonts w:ascii="Cambria" w:hAnsi="Cambria" w:cs="Times New Roman"/>
          <w:i/>
          <w:iCs/>
          <w:sz w:val="24"/>
          <w:szCs w:val="24"/>
        </w:rPr>
        <w:t xml:space="preserve"> – паспорт гражданина Р. Армения (с отметкой о сроке действия в иностранных государствах.)</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Беларусь</w:t>
      </w:r>
      <w:r>
        <w:rPr>
          <w:rFonts w:ascii="Cambria" w:hAnsi="Cambria" w:cs="Times New Roman"/>
          <w:i/>
          <w:iCs/>
          <w:sz w:val="24"/>
          <w:szCs w:val="24"/>
        </w:rPr>
        <w:t xml:space="preserve"> – паспорт гражданина Р. Беларусь.</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Молдова –</w:t>
      </w:r>
      <w:r>
        <w:rPr>
          <w:rFonts w:ascii="Cambria" w:hAnsi="Cambria" w:cs="Times New Roman"/>
          <w:i/>
          <w:iCs/>
          <w:sz w:val="24"/>
          <w:szCs w:val="24"/>
        </w:rPr>
        <w:t xml:space="preserve"> паспорт гражданина Р. Молдова (для выезда за границу).</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Казахстан –</w:t>
      </w:r>
      <w:r>
        <w:rPr>
          <w:rFonts w:ascii="Cambria" w:hAnsi="Cambria" w:cs="Times New Roman"/>
          <w:i/>
          <w:iCs/>
          <w:sz w:val="24"/>
          <w:szCs w:val="24"/>
        </w:rPr>
        <w:t xml:space="preserve"> паспорт гражданина Р. Казахстан. Для детей до 16 лет- свидетельство о рождении.</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Кыргызстан</w:t>
      </w:r>
      <w:r>
        <w:rPr>
          <w:rFonts w:ascii="Cambria" w:hAnsi="Cambria" w:cs="Times New Roman"/>
          <w:i/>
          <w:iCs/>
          <w:sz w:val="24"/>
          <w:szCs w:val="24"/>
        </w:rPr>
        <w:t xml:space="preserve"> – общегражданский паспорт Кыргызской Республики образца 2004 года.</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Таджикистан</w:t>
      </w:r>
      <w:r>
        <w:rPr>
          <w:rFonts w:ascii="Cambria" w:hAnsi="Cambria" w:cs="Times New Roman"/>
          <w:i/>
          <w:iCs/>
          <w:sz w:val="24"/>
          <w:szCs w:val="24"/>
        </w:rPr>
        <w:t xml:space="preserve"> – общегражданский паспорт.</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Узбекистан</w:t>
      </w:r>
      <w:r>
        <w:rPr>
          <w:rFonts w:ascii="Cambria" w:hAnsi="Cambria" w:cs="Times New Roman"/>
          <w:i/>
          <w:iCs/>
          <w:sz w:val="24"/>
          <w:szCs w:val="24"/>
        </w:rPr>
        <w:t xml:space="preserve"> – паспорт гражданина Р. Узбекистан. Для детей до 16 лет- удостоверение гражданина Р. Узбекистан.</w:t>
      </w:r>
      <w:r/>
    </w:p>
    <w:p>
      <w:pPr>
        <w:ind w:firstLine="709"/>
        <w:jc w:val="both"/>
        <w:spacing w:lineRule="auto" w:line="240" w:after="0"/>
        <w:rPr>
          <w:rFonts w:ascii="Cambria" w:hAnsi="Cambria" w:cs="Times New Roman"/>
          <w:sz w:val="24"/>
          <w:szCs w:val="24"/>
        </w:rPr>
      </w:pPr>
      <w:r>
        <w:rPr>
          <w:rFonts w:ascii="Cambria" w:hAnsi="Cambria" w:cs="Times New Roman"/>
          <w:b/>
          <w:bCs/>
          <w:i/>
          <w:iCs/>
          <w:sz w:val="24"/>
          <w:szCs w:val="24"/>
        </w:rPr>
        <w:t xml:space="preserve">Украина –</w:t>
      </w:r>
      <w:r>
        <w:rPr>
          <w:rFonts w:ascii="Cambria" w:hAnsi="Cambria" w:cs="Times New Roman"/>
          <w:i/>
          <w:iCs/>
          <w:sz w:val="24"/>
          <w:szCs w:val="24"/>
        </w:rPr>
        <w:t xml:space="preserve"> паспорт гражданина Украины, для детей до 16 лет – свидетельство о рождении, паспорт  гражданина Украины для выезда за границу.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3. На границе Вы должны получить миграционную карту и лично её заполнить.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Бланки миграционных карт выдаются бесплатно должностными лицами органов пограничного контроля либо представителями организаций, оказывающих транспортные услуги иностранным гражданам, въезжающим в Российскую Федерацию.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Миграционная карта заполняется на русском языке. Если Вы сомневаетесь, что сможете заполнить её по-русски, аккуратно перепишите данные своего паспорта латинскими буквами.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mc:AlternateContent>
          <mc:Choice Requires="wpg">
            <w:drawing>
              <wp:anchor xmlns:wp="http://schemas.openxmlformats.org/drawingml/2006/wordprocessingDrawing" distT="0" distB="0" distL="114300" distR="114300" simplePos="0" relativeHeight="502790144" behindDoc="0" locked="0" layoutInCell="1" allowOverlap="1">
                <wp:simplePos x="0" y="0"/>
                <wp:positionH relativeFrom="margin">
                  <wp:posOffset>2681310</wp:posOffset>
                </wp:positionH>
                <wp:positionV relativeFrom="paragraph">
                  <wp:posOffset>504088</wp:posOffset>
                </wp:positionV>
                <wp:extent cx="3486150" cy="2758083"/>
                <wp:effectExtent l="6350" t="6350" r="6350" b="6350"/>
                <wp:wrapNone/>
                <wp:docPr id="7" name="" hidden="false"/>
                <wp:cNvGraphicFramePr/>
                <a:graphic xmlns:a="http://schemas.openxmlformats.org/drawingml/2006/main">
                  <a:graphicData uri="http://schemas.openxmlformats.org/drawingml/2006/picture">
                    <pic:pic xmlns:pic="http://schemas.openxmlformats.org/drawingml/2006/picture">
                      <pic:nvPicPr>
                        <pic:cNvPr id="8" name="" hidden="0"/>
                        <pic:cNvPicPr/>
                      </pic:nvPicPr>
                      <pic:blipFill>
                        <a:blip r:embed="rId15"/>
                        <a:stretch/>
                      </pic:blipFill>
                      <pic:spPr bwMode="auto">
                        <a:xfrm flipH="0" flipV="0">
                          <a:off x="0" y="0"/>
                          <a:ext cx="3486150" cy="2758082"/>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502790144;o:allowoverlap:true;o:allowincell:true;mso-position-horizontal-relative:margin;margin-left:211.1pt;mso-position-horizontal:absolute;mso-position-vertical-relative:text;margin-top:39.7pt;mso-position-vertical:absolute;width:274.5pt;height:217.2pt;">
                <v:path textboxrect="0,0,0,0"/>
                <v:imagedata r:id="rId15" o:title=""/>
              </v:shape>
            </w:pict>
          </mc:Fallback>
        </mc:AlternateContent>
      </w:r>
      <w:r>
        <w:rPr>
          <w:rFonts w:ascii="Cambria" w:hAnsi="Cambria" w:cs="Times New Roman"/>
          <w:sz w:val="24"/>
          <w:szCs w:val="24"/>
        </w:rPr>
        <w:t xml:space="preserve">При прохождении пограничного контроля одна часть карты останется у пограничников, а вторую должны выдать Вам на руки. Обратите внимание на то, чтобы в нижней части миграционной карты пограничники проставили отметку о въезде в РФ.</w:t>
      </w:r>
      <w:r/>
    </w:p>
    <w:tbl>
      <w:tblPr>
        <w:tblStyle w:val="571"/>
        <w:tblW w:w="0" w:type="auto"/>
        <w:tblLayout w:type="fixed"/>
        <w:tblLook w:val="04A0" w:firstRow="1" w:lastRow="0" w:firstColumn="1" w:lastColumn="0" w:noHBand="0" w:noVBand="1"/>
      </w:tblPr>
      <w:tblGrid>
        <w:gridCol w:w="4360"/>
        <w:gridCol w:w="5494"/>
      </w:tblGrid>
      <w:tr>
        <w:trPr/>
        <w:tc>
          <w:tcPr>
            <w:tcBorders>
              <w:left w:val="none" w:color="000000" w:sz="4" w:space="0"/>
              <w:top w:val="none" w:color="000000" w:sz="4" w:space="0"/>
              <w:right w:val="none" w:color="000000" w:sz="4" w:space="0"/>
              <w:bottom w:val="none" w:color="000000" w:sz="4" w:space="0"/>
            </w:tcBorders>
            <w:tcW w:w="4360"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lang w:eastAsia="ru-RU"/>
              </w:rPr>
            </w:r>
            <w:r>
              <w:rPr>
                <w:rFonts w:ascii="Cambria" w:hAnsi="Cambria" w:cs="Times New Roman"/>
                <w:sz w:val="24"/>
                <w:szCs w:val="24"/>
              </w:rPr>
              <w:t xml:space="preserve">С миграционной картой Вы можете отправляться в любую точку России. Когда Вы прибудете на место, Вам незамедлительно нужно встать на учет в миграционной службе. Вы должны заранее знать, кто</w:t>
            </w:r>
            <w:r>
              <w:rPr>
                <w:rFonts w:ascii="Cambria" w:hAnsi="Cambria" w:cs="Times New Roman"/>
                <w:sz w:val="24"/>
                <w:szCs w:val="24"/>
              </w:rPr>
              <w:t xml:space="preserve"> будет Вашей принимающей стороной и найдется ли для Вас работа, жильё.  Принимающей стороной может быть не только гражданин России, но и иностранный гражданин, постоянно или временно проживающий в России, или организация, в которой Вы собираетесь работать.</w:t>
            </w:r>
            <w:r>
              <w:rPr>
                <w:rFonts w:ascii="Cambria" w:hAnsi="Cambria" w:cs="Times New Roman"/>
                <w:sz w:val="24"/>
                <w:szCs w:val="24"/>
                <w:lang w:eastAsia="ru-RU"/>
              </w:rPr>
            </w:r>
            <w:r/>
          </w:p>
        </w:tc>
        <w:tc>
          <w:tcPr>
            <w:tcBorders>
              <w:left w:val="none" w:color="000000" w:sz="4" w:space="0"/>
              <w:top w:val="none" w:color="000000" w:sz="4" w:space="0"/>
              <w:right w:val="none" w:color="000000" w:sz="4" w:space="0"/>
              <w:bottom w:val="none" w:color="000000" w:sz="4" w:space="0"/>
            </w:tcBorders>
            <w:tcW w:w="5494" w:type="dxa"/>
            <w:textDirection w:val="lrTb"/>
            <w:noWrap w:val="false"/>
          </w:tcPr>
          <w:p>
            <w:pPr>
              <w:rPr>
                <w:rFonts w:ascii="Cambria" w:hAnsi="Cambria" w:cs="Times New Roman"/>
                <w:sz w:val="24"/>
                <w:szCs w:val="24"/>
                <w:lang w:eastAsia="ru-RU"/>
              </w:rPr>
            </w:pPr>
            <w:r>
              <w:rPr>
                <w:rFonts w:ascii="Cambria" w:hAnsi="Cambria" w:cs="Times New Roman"/>
                <w:sz w:val="24"/>
                <w:lang w:eastAsia="ru-RU"/>
              </w:rPr>
            </w:r>
            <w:r>
              <w:rPr>
                <w:rFonts w:ascii="Cambria" w:hAnsi="Cambria" w:cs="Times New Roman"/>
                <w:sz w:val="24"/>
                <w:lang w:eastAsia="ru-RU"/>
              </w:rPr>
            </w:r>
            <w:r/>
          </w:p>
        </w:tc>
      </w:tr>
    </w:tbl>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0"/>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center"/>
        <w:spacing w:lineRule="auto" w:line="240" w:after="0"/>
        <w:rPr>
          <w:rFonts w:ascii="Cambria" w:hAnsi="Cambria" w:cs="Times New Roman"/>
          <w:b/>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b/>
          <w:i/>
          <w:color w:val="FF0000"/>
          <w:sz w:val="24"/>
          <w:szCs w:val="24"/>
        </w:rPr>
        <w:t xml:space="preserve">ПРЕДУПРЕЖДЕНИЕ</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t xml:space="preserve">Важно знать – легально оформить миграционную карту можно только на границе.</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t xml:space="preserve">Ни в коем случае не нужно приобретать миграционные карты с рук.</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t xml:space="preserve">Подделку можно выявить, если ввести номер миграционной карты в базу Управления по вопросам миграции Министерства внутренних дел Российской Федерации.</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t xml:space="preserve">Использование поддельной миграционной карты наказывается административным штрафом и выдворением за пределы Российской Федерации сроком на 5 лет.</w:t>
      </w:r>
      <w:r/>
    </w:p>
    <w:p>
      <w:pPr>
        <w:jc w:val="both"/>
        <w:spacing w:lineRule="auto" w:line="240" w:after="0"/>
        <w:rPr>
          <w:rFonts w:ascii="Cambria" w:hAnsi="Cambria" w:cs="Times New Roman"/>
          <w:sz w:val="24"/>
          <w:szCs w:val="24"/>
        </w:rPr>
      </w:pPr>
      <w:r>
        <w:rPr>
          <w:rFonts w:ascii="Cambria" w:hAnsi="Cambria" w:cs="Times New Roman"/>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ПОСТАНОВКА НА МИГРАЦИОННЫЙ УЧЕТ (РЕГИСТРАЦИЯ)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Срок временного пребывания (проживания) иностранных граждан и членов их семей, прибывших из этих стран</w:t>
      </w:r>
      <w:r>
        <w:rPr>
          <w:rFonts w:ascii="Cambria" w:hAnsi="Cambria" w:cs="Times New Roman"/>
          <w:sz w:val="24"/>
          <w:szCs w:val="24"/>
        </w:rPr>
        <w:t xml:space="preserve">, определяется сроком действия трудового либо гражданско-правового договора, заключенного трудящимся государства-члена Евразийского экономического союза с работодателем. Граждане Украины, Белоруссии – в течение 90 дней с даты въезда в Российскую Федерацию.</w:t>
      </w:r>
      <w:r>
        <w:rPr>
          <w:rFonts w:ascii="Cambria" w:hAnsi="Cambria" w:cs="Times New Roman"/>
          <w:sz w:val="24"/>
          <w:szCs w:val="24"/>
        </w:rPr>
        <w:b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Гражданам из ближнего зарубежья можно находиться в России без оформления патента не больше 90 суток за 6 месяцев.</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Для иностранных граждан, прибывших в безвизовом порядке до истечения 90 </w:t>
      </w:r>
      <w:r>
        <w:rPr>
          <w:rFonts w:ascii="Cambria" w:hAnsi="Cambria" w:cs="Times New Roman"/>
          <w:sz w:val="24"/>
          <w:szCs w:val="24"/>
        </w:rPr>
        <w:br/>
        <w:t xml:space="preserve">суток необходимо продлить регистрацию (при наличии законных оснований), либо выехать за пределы Российской Федерации на 3 месяца.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соответствии с изменениями, внесенными в статью 5 Федерального закона от 25 июля 2002 года № 115-ФЗ «О правовом</w:t>
      </w:r>
      <w:r>
        <w:rPr>
          <w:rFonts w:ascii="Cambria" w:hAnsi="Cambria" w:cs="Times New Roman"/>
          <w:sz w:val="24"/>
          <w:szCs w:val="24"/>
        </w:rPr>
        <w:t xml:space="preserve"> положении иностранных граждан в Российской Федерации», срок временного пребывания в Российской Федерации иностранного гражданина, осуществляющего трудовую деятельность в Российской Федерации без разрешения на работу или патента, и членам семьи продлеваетс</w:t>
      </w:r>
      <w:r>
        <w:rPr>
          <w:rFonts w:ascii="Cambria" w:hAnsi="Cambria" w:cs="Times New Roman"/>
          <w:sz w:val="24"/>
          <w:szCs w:val="24"/>
        </w:rPr>
        <w:t xml:space="preserve">я на срок действия трудового договора или гражданско-правового договора на выполнение работ (оказание услуг), заключенного данным иностранным гражданином с работодателем или заказчиком работ (услуг) в соответствии с законодательством Российской Федерации.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Срок временного пребывания иностранного гражданина и членов его семьи на основании действия трудового договора или</w:t>
      </w:r>
      <w:r>
        <w:rPr>
          <w:rFonts w:ascii="Cambria" w:hAnsi="Cambria" w:cs="Times New Roman"/>
          <w:sz w:val="24"/>
          <w:szCs w:val="24"/>
        </w:rPr>
        <w:t xml:space="preserve"> гражданско-правового договора на выполнение работ (оказание услуг) продлевается на срок действия документа, а если договор заключен на неопределенный срок, то продление производится на срок не более 1 года с даты въезда на территорию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Указанный срок может быть неоднократно продлен, но </w:t>
      </w:r>
      <w:r>
        <w:rPr>
          <w:rFonts w:ascii="Cambria" w:hAnsi="Cambria" w:cs="Times New Roman"/>
          <w:sz w:val="24"/>
          <w:szCs w:val="24"/>
        </w:rPr>
        <w:t xml:space="preserve">не более чем на один год для каждого продления. Срок временного пребывания в Российской Федерации иностранного гражданина, в установленном порядке признанного носителем русского языка, продлевается на 90 дней со дня признания его носителем русского языка.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Срок временного пребывания в Российской Федерации иностранного гражданина, имеющего статус участника Государственной программы по оказанию содействия добровольному переселению в Российскую Федерацию, продлевается на срок действия свидетельства.</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Постановку на миграционный учет иностранного гражданина осуществляет принимающая сторона: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гражданин Российской Федерации, постоянно зарегистрированный в регионе, где Вы собираетесь работать;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иностранный гражданин, постоянно проживающий в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юридическое лицо: организация-работодатель, гостиница,некоммерческая организация;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Список документов принимающей стороны (физическое лицо):</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 и копия паспорта гражданина Российской Федерации или иностранного гражданина, постоянно проживающего на территории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свидетельства регистрации права собственности на помещение.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Список документов принимающей организации: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свидетельств о государственной регистрации юридического лица;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ИНН;</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уведомления из территориального органа Федеральной службы государственной статистики;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свидетельства о внесении записи в ЕГРЮЛ;</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приказа о назначении руководителя;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паспорта руководителя;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трудового договора с иностранным гражданином;</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сведения об организации (адрес, телефон);</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копия договора аренды или копия свидетельства о праве собственности на занимаемое помещение;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оригинал выписки ЕГРЮЛ (сделанной не ранее 2 месяцев назад;</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Все документы заверяются печатью и подписью руководителя организации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Список документов для иностранного гражданина: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 и копия паспорта (первая страница и с отметкой о пересечении границы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миграционная карта и его копия;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медицинский полис и его копия.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Для постановки на миграционный учет необходимо заполнить бланк-уведомление о прибытии иностранного гражданина. </w:t>
      </w:r>
      <w:r>
        <w:rPr>
          <w:rFonts w:ascii="Cambria" w:hAnsi="Cambria" w:cs="Times New Roman"/>
          <w:sz w:val="24"/>
          <w:szCs w:val="24"/>
        </w:rPr>
        <w:t xml:space="preserve">Документы можно предоставить в:</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подразделения по вопросам миграции территориальных органов МВД по Алтайскому краю на районном уровне;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 Многофункциональный Центр предоставления государственных услуг (МФЦ);</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 отделения ФГУП «Почта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Законно находящийся в Российской Федерации иностранный гражданин – лицо, имеющее один из этих документов:</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визу и (или) миграционную карту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разрешение на временное проживание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вид на жительство</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иные предусмотренные федеральным законом или международным договором Российской Федерации документы,подтверждающие право иностранного гражданина на пребывание(проживание) в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Иностранному гражданину, нарушившему правила въезда и режима пребывания в Алтайском крае, грозит штраф в размере от 2 до 5 тысяч рублей с выдворением за пределы Российской Федерации и запретом на въезд в течение 5 лет.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Уведомление миграционной службы производится в следующем порядке: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Вы предъявляете паспорт и миграционную карту принимающей стороне;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принимающая сторона заполняет бланк уведомления о прибытии иностранного гражданина и прикладывает к нему копию Вашего паспорта, копию миграционной карты и подает уведомление (в течение трёх дней) в миграционную службу;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сотрудни</w:t>
      </w:r>
      <w:r>
        <w:rPr>
          <w:rFonts w:ascii="Cambria" w:hAnsi="Cambria" w:cs="Times New Roman"/>
          <w:sz w:val="24"/>
          <w:szCs w:val="24"/>
        </w:rPr>
        <w:t xml:space="preserve">к миграционной службы проставляет в бланке уведомления отметку о приеме и выдаёт отрывную часть уведомления с отметкой о приеме. Уведомление можно отправить по почте письмом с объявленной ценностью. В таком случае уведомление заполняется в 2-х экземплярах.</w:t>
      </w:r>
      <w:r/>
    </w:p>
    <w:p>
      <w:pPr>
        <w:jc w:val="both"/>
        <w:spacing w:lineRule="auto" w:line="240" w:after="0"/>
        <w:rPr>
          <w:rFonts w:ascii="Cambria" w:hAnsi="Cambria" w:cs="Times New Roman"/>
          <w:sz w:val="24"/>
          <w:szCs w:val="24"/>
        </w:rPr>
      </w:pPr>
      <w:r>
        <w:rPr>
          <w:rFonts w:ascii="Cambria" w:hAnsi="Cambria" w:cs="Times New Roman"/>
          <w:sz w:val="24"/>
          <w:szCs w:val="24"/>
        </w:rPr>
      </w:r>
      <w:r/>
    </w:p>
    <w:p>
      <w:pPr>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mc:AlternateContent>
          <mc:Choice Requires="wpg">
            <w:drawing>
              <wp:anchor xmlns:wp="http://schemas.openxmlformats.org/drawingml/2006/wordprocessingDrawing" distT="0" distB="0" distL="114300" distR="114300" simplePos="0" relativeHeight="251665408" behindDoc="0" locked="0" layoutInCell="1" allowOverlap="1">
                <wp:simplePos x="0" y="0"/>
                <wp:positionH relativeFrom="column">
                  <wp:posOffset>448310</wp:posOffset>
                </wp:positionH>
                <wp:positionV relativeFrom="paragraph">
                  <wp:posOffset>-2539</wp:posOffset>
                </wp:positionV>
                <wp:extent cx="5115560" cy="7236460"/>
                <wp:effectExtent l="0" t="0" r="0" b="0"/>
                <wp:wrapNone/>
                <wp:docPr id="8" name="" hidden="false"/>
                <wp:cNvGraphicFramePr/>
                <a:graphic xmlns:a="http://schemas.openxmlformats.org/drawingml/2006/main">
                  <a:graphicData uri="http://schemas.openxmlformats.org/drawingml/2006/picture">
                    <pic:pic xmlns:pic="http://schemas.openxmlformats.org/drawingml/2006/picture">
                      <pic:nvPicPr>
                        <pic:cNvPr id="9" name="" hidden="0"/>
                        <pic:cNvPicPr/>
                      </pic:nvPicPr>
                      <pic:blipFill>
                        <a:blip r:embed="rId16"/>
                        <a:stretch/>
                      </pic:blipFill>
                      <pic:spPr bwMode="auto">
                        <a:xfrm>
                          <a:off x="0" y="0"/>
                          <a:ext cx="5115560" cy="7236460"/>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665408;o:allowoverlap:true;o:allowincell:true;mso-position-horizontal-relative:text;margin-left:35.3pt;mso-position-horizontal:absolute;mso-position-vertical-relative:text;margin-top:-0.2pt;mso-position-vertical:absolute;width:402.8pt;height:569.8pt;">
                <v:path textboxrect="0,0,0,0"/>
                <v:imagedata r:id="rId16" o:title=""/>
              </v:shape>
            </w:pict>
          </mc:Fallback>
        </mc:AlternateContent>
      </w:r>
      <w:r/>
    </w:p>
    <w:p>
      <w:pPr>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0"/>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center"/>
        <w:spacing w:lineRule="auto" w:line="240" w:after="0"/>
        <w:rPr>
          <w:rFonts w:ascii="Cambria" w:hAnsi="Cambria" w:cs="Times New Roman"/>
          <w:b/>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b/>
          <w:i/>
          <w:color w:val="FF0000"/>
          <w:sz w:val="24"/>
          <w:szCs w:val="24"/>
        </w:rPr>
        <w:t xml:space="preserve">ПРЕДУПРЕЖДЕНИЕ</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b/>
          <w:bCs/>
          <w:i/>
          <w:iCs/>
          <w:color w:val="FF0000"/>
          <w:sz w:val="24"/>
          <w:szCs w:val="24"/>
        </w:rPr>
        <w:t xml:space="preserve">Помните, что Вы можете законно находиться только в пределах одногосубъекта Российской Федерации.</w:t>
      </w:r>
      <w:r>
        <w:rPr>
          <w:rFonts w:ascii="Cambria" w:hAnsi="Cambria" w:cs="Times New Roman"/>
          <w:i/>
          <w:iCs/>
          <w:color w:val="FF0000"/>
          <w:sz w:val="24"/>
          <w:szCs w:val="24"/>
        </w:rPr>
        <w:t xml:space="preserve"> Чтобы переехать в другую область, необходимо сначала сняться с учета, а затем пройти всю процедуру постановки на учет на новом месте.</w:t>
      </w:r>
      <w:r/>
    </w:p>
    <w:p>
      <w:pPr>
        <w:ind w:firstLine="709"/>
        <w:jc w:val="both"/>
        <w:spacing w:lineRule="auto" w:line="240" w:after="0"/>
        <w:rPr>
          <w:rFonts w:ascii="Cambria" w:hAnsi="Cambria" w:cs="Times New Roman"/>
          <w:b/>
          <w:bCs/>
          <w:sz w:val="24"/>
          <w:szCs w:val="24"/>
        </w:rPr>
      </w:pPr>
      <w:r>
        <w:rPr>
          <w:rFonts w:ascii="Cambria" w:hAnsi="Cambria" w:cs="Times New Roman"/>
          <w:b/>
          <w:bCs/>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bCs/>
          <w:sz w:val="24"/>
          <w:szCs w:val="24"/>
        </w:rPr>
        <w:t xml:space="preserve">Российское законодательство разделяет всех иностранных граждан на три категории: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–временно пребывающие на территории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временно проживающие на территории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постоянно проживающие на территории России.</w:t>
      </w:r>
      <w:r/>
    </w:p>
    <w:p>
      <w:pPr>
        <w:ind w:firstLine="709"/>
        <w:jc w:val="both"/>
        <w:spacing w:lineRule="auto" w:line="240" w:after="0"/>
        <w:rPr>
          <w:rFonts w:ascii="Cambria" w:hAnsi="Cambria" w:cs="Times New Roman"/>
          <w:b/>
          <w:bCs/>
          <w:sz w:val="24"/>
          <w:szCs w:val="24"/>
        </w:rPr>
      </w:pPr>
      <w:r>
        <w:rPr>
          <w:rFonts w:ascii="Cambria" w:hAnsi="Cambria" w:cs="Times New Roman"/>
          <w:b/>
          <w:bCs/>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bCs/>
          <w:sz w:val="24"/>
          <w:szCs w:val="24"/>
        </w:rPr>
        <w:t xml:space="preserve">Временно пребывающие на территории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По общему правилу, они имеют право находиться в России 9</w:t>
      </w:r>
      <w:r>
        <w:rPr>
          <w:rFonts w:ascii="Cambria" w:hAnsi="Cambria" w:cs="Times New Roman"/>
          <w:sz w:val="24"/>
          <w:szCs w:val="24"/>
        </w:rPr>
        <w:t xml:space="preserve">0 дней, с момента пересечения границы. При получении разрешения на работу на более длительный срок и заключении трудового договора, срок пребывания увеличивается на срок действия трудового договора – но не может быть более 1 года с момента въезда в Россию.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jc w:val="both"/>
        <w:spacing w:lineRule="auto" w:line="240" w:after="0"/>
        <w:rPr>
          <w:rFonts w:ascii="Cambria" w:hAnsi="Cambria" w:cs="Times New Roman" w:eastAsia="Times New Roman"/>
          <w:color w:val="000000"/>
          <w:sz w:val="0"/>
          <w:szCs w:val="0"/>
          <w:lang w:eastAsia="ru-RU"/>
        </w:rPr>
      </w:pPr>
      <w:r>
        <w:rPr>
          <w:rFonts w:ascii="Cambria" w:hAnsi="Cambria" w:cs="Times New Roman" w:eastAsia="Times New Roman"/>
          <w:color w:val="000000"/>
          <w:sz w:val="0"/>
          <w:szCs w:val="0"/>
          <w:lang w:eastAsia="ru-RU"/>
        </w:rPr>
      </w:r>
      <w:r/>
    </w:p>
    <w:p>
      <w:pPr>
        <w:jc w:val="both"/>
        <w:spacing w:lineRule="auto" w:line="240" w:after="0"/>
        <w:rPr>
          <w:rFonts w:ascii="Cambria" w:hAnsi="Cambria" w:cs="Times New Roman" w:eastAsia="Times New Roman"/>
          <w:color w:val="000000"/>
          <w:sz w:val="0"/>
          <w:szCs w:val="0"/>
          <w:lang w:eastAsia="ru-RU"/>
        </w:rPr>
      </w:pPr>
      <w:r>
        <w:rPr>
          <w:rFonts w:ascii="Cambria" w:hAnsi="Cambria" w:cs="Times New Roman" w:eastAsia="Times New Roman"/>
          <w:color w:val="000000"/>
          <w:sz w:val="0"/>
          <w:szCs w:val="0"/>
          <w:lang w:eastAsia="ru-RU"/>
        </w:rPr>
      </w:r>
      <w:r/>
    </w:p>
    <w:p>
      <w:pPr>
        <w:jc w:val="both"/>
        <w:spacing w:lineRule="auto" w:line="240" w:after="0"/>
        <w:rPr>
          <w:rFonts w:ascii="Cambria" w:hAnsi="Cambria" w:cs="Times New Roman" w:eastAsia="Times New Roman"/>
          <w:color w:val="000000"/>
          <w:sz w:val="0"/>
          <w:szCs w:val="0"/>
          <w:lang w:eastAsia="ru-RU"/>
        </w:rPr>
      </w:pPr>
      <w:r>
        <w:rPr>
          <w:rFonts w:ascii="Cambria" w:hAnsi="Cambria" w:cs="Times New Roman" w:eastAsia="Times New Roman"/>
          <w:color w:val="000000"/>
          <w:sz w:val="0"/>
          <w:szCs w:val="0"/>
          <w:shd w:val="clear" w:color="auto" w:fill="000000"/>
          <w:lang w:eastAsia="ru-RU"/>
        </w:rPr>
      </w:r>
      <w:r>
        <w:rPr>
          <w:rFonts w:ascii="Cambria" w:hAnsi="Cambria" w:cs="Times New Roman" w:eastAsia="Times New Roman"/>
          <w:color w:val="000000"/>
          <w:sz w:val="0"/>
          <w:szCs w:val="0"/>
          <w:shd w:val="clear" w:color="auto" w:fill="000000"/>
          <w:lang w:eastAsia="ru-RU"/>
        </w:rPr>
      </w:r>
      <w:r/>
    </w:p>
    <w:p>
      <w:pPr>
        <w:jc w:val="center"/>
        <w:spacing w:lineRule="auto" w:line="240" w:after="0"/>
        <w:rPr>
          <w:rFonts w:ascii="Cambria" w:hAnsi="Cambria" w:cs="Times New Roman"/>
          <w:b/>
          <w:sz w:val="24"/>
          <w:szCs w:val="24"/>
        </w:rPr>
      </w:pPr>
      <w:r>
        <w:rPr>
          <w:rFonts w:ascii="Cambria" w:hAnsi="Cambria" w:cs="Times New Roman" w:eastAsia="Times New Roman"/>
          <w:color w:val="000000"/>
          <w:sz w:val="0"/>
          <w:szCs w:val="0"/>
          <w:shd w:val="clear" w:color="auto" w:fill="000000"/>
          <w:lang w:eastAsia="ru-RU"/>
        </w:rPr>
      </w:r>
      <w:r>
        <w:rPr>
          <w:rFonts w:ascii="Cambria" w:hAnsi="Cambria" w:cs="Times New Roman" w:eastAsia="Times New Roman"/>
          <w:color w:val="000000"/>
          <w:sz w:val="0"/>
          <w:szCs w:val="0"/>
          <w:shd w:val="clear" w:color="auto" w:fill="000000"/>
          <w:lang w:eastAsia="ru-RU"/>
        </w:rPr>
        <w:t xml:space="preserve">й</w:t>
      </w:r>
      <w:r>
        <w:rPr>
          <w:rFonts w:ascii="Cambria" w:hAnsi="Cambria" w:cs="Times New Roman"/>
          <w:b/>
          <w:sz w:val="24"/>
          <w:szCs w:val="24"/>
        </w:rPr>
        <w:tab/>
        <w:t xml:space="preserve">Временно проживающие на </w:t>
      </w:r>
      <w:r>
        <w:rPr>
          <w:rFonts w:ascii="Cambria" w:hAnsi="Cambria" w:cs="Times New Roman"/>
          <w:b/>
          <w:sz w:val="24"/>
          <w:szCs w:val="24"/>
        </w:rPr>
        <w:t xml:space="preserve">территории России иностранцы</w:t>
        <w:br/>
        <w:t xml:space="preserve">(режим РВП).</w:t>
      </w:r>
      <w:r/>
    </w:p>
    <w:p>
      <w:pPr>
        <w:jc w:val="center"/>
        <w:spacing w:lineRule="auto" w:line="240" w:after="0"/>
        <w:rPr>
          <w:rFonts w:ascii="Cambria" w:hAnsi="Cambria" w:cs="Times New Roman"/>
          <w:b/>
          <w:sz w:val="24"/>
          <w:szCs w:val="24"/>
        </w:rPr>
      </w:pPr>
      <w:r>
        <w:rPr>
          <w:rFonts w:ascii="Cambria" w:hAnsi="Cambria" w:cs="Times New Roman"/>
          <w:b/>
          <w:sz w:val="24"/>
          <w:szCs w:val="24"/>
        </w:rPr>
      </w:r>
      <w:r>
        <w:rPr>
          <w:rFonts w:ascii="Cambria" w:hAnsi="Cambria" w:cs="Times New Roman"/>
          <w:b/>
          <w:sz w:val="24"/>
          <w:szCs w:val="24"/>
        </w:rPr>
      </w:r>
      <w:r/>
    </w:p>
    <w:tbl>
      <w:tblPr>
        <w:tblStyle w:val="571"/>
        <w:tblW w:w="0" w:type="auto"/>
        <w:tblLayout w:type="fixed"/>
        <w:tblLook w:val="04A0" w:firstRow="1" w:lastRow="0" w:firstColumn="1" w:lastColumn="0" w:noHBand="0" w:noVBand="1"/>
      </w:tblPr>
      <w:tblGrid>
        <w:gridCol w:w="5494"/>
        <w:gridCol w:w="4360"/>
      </w:tblGrid>
      <w:tr>
        <w:trPr/>
        <w:tc>
          <w:tcPr>
            <w:tcBorders>
              <w:left w:val="none" w:color="000000" w:sz="4" w:space="0"/>
              <w:top w:val="none" w:color="000000" w:sz="4" w:space="0"/>
              <w:right w:val="none" w:color="000000" w:sz="4" w:space="0"/>
              <w:bottom w:val="none" w:color="000000" w:sz="4" w:space="0"/>
            </w:tcBorders>
            <w:tcW w:w="5494" w:type="dxa"/>
            <w:textDirection w:val="lrTb"/>
            <w:noWrap w:val="false"/>
          </w:tcPr>
          <w:p>
            <w:pPr>
              <w:ind w:firstLine="709"/>
              <w:jc w:val="both"/>
              <w:spacing w:lineRule="auto" w:line="240" w:after="0"/>
              <w:rPr>
                <w:rFonts w:ascii="Cambria" w:hAnsi="Cambria" w:cs="Times New Roman"/>
              </w:rPr>
            </w:pPr>
            <w:r>
              <w:rPr>
                <w:rFonts w:ascii="Cambria" w:hAnsi="Cambria" w:cs="Times New Roman"/>
                <w:sz w:val="24"/>
                <w:szCs w:val="24"/>
              </w:rPr>
            </w:r>
            <w:r>
              <w:rPr>
                <w:rFonts w:ascii="Cambria" w:hAnsi="Cambria" w:cs="Times New Roman"/>
                <w:sz w:val="24"/>
                <w:szCs w:val="24"/>
              </w:rPr>
              <w:t xml:space="preserve">Срок действия разрешения на временное проживание составляет 3 года. Разрешение на временное проживание может быть выдано на основании заявления в пределах к</w:t>
            </w:r>
            <w:r>
              <w:rPr>
                <w:rFonts w:ascii="Cambria" w:hAnsi="Cambria" w:cs="Times New Roman"/>
                <w:sz w:val="24"/>
                <w:szCs w:val="24"/>
              </w:rPr>
              <w:t xml:space="preserve">воты, утвержденной Правительством Российской Федерации. Без учета квоты разрешение может быть выдано иностранному гражданину, родившемуся на территории РСФСР и состоявшему в прошлом в гражданстве СССР или родившемуся на территории России; признанному нетру</w:t>
            </w:r>
            <w:r>
              <w:rPr>
                <w:rFonts w:ascii="Cambria" w:hAnsi="Cambria" w:cs="Times New Roman"/>
                <w:sz w:val="24"/>
                <w:szCs w:val="24"/>
              </w:rPr>
              <w:t xml:space="preserve">доспособным и имеющему дееспособных сына или дочь, которые являются гражданами России; имеющему хотя бы одного </w:t>
            </w:r>
            <w:r>
              <w:rPr>
                <w:rFonts w:ascii="Cambria" w:hAnsi="Cambria" w:cs="Times New Roman"/>
                <w:sz w:val="24"/>
              </w:rPr>
            </w:r>
            <w:r/>
          </w:p>
        </w:tc>
        <w:tc>
          <w:tcPr>
            <w:tcBorders>
              <w:left w:val="none" w:color="000000" w:sz="4" w:space="0"/>
              <w:top w:val="none" w:color="000000" w:sz="4" w:space="0"/>
              <w:right w:val="none" w:color="000000" w:sz="4" w:space="0"/>
              <w:bottom w:val="none" w:color="000000" w:sz="4" w:space="0"/>
            </w:tcBorders>
            <w:tcW w:w="4360" w:type="dxa"/>
            <w:textDirection w:val="lrTb"/>
            <w:noWrap w:val="false"/>
          </w:tcPr>
          <w:p>
            <w:pPr>
              <w:rPr>
                <w:rFonts w:ascii="Cambria" w:hAnsi="Cambria" w:cs="Times New Roman"/>
                <w:sz w:val="24"/>
                <w:szCs w:val="24"/>
              </w:rPr>
            </w:pPr>
            <w:r>
              <w:rPr>
                <w:rFonts w:ascii="Cambria" w:hAnsi="Cambria" w:cs="Times New Roman"/>
                <w:sz w:val="24"/>
              </w:rPr>
            </w:r>
            <w:r>
              <mc:AlternateContent>
                <mc:Choice Requires="wpg">
                  <w:drawing>
                    <wp:anchor xmlns:wp="http://schemas.openxmlformats.org/drawingml/2006/wordprocessingDrawing" distT="0" distB="0" distL="114300" distR="114300" simplePos="0" relativeHeight="502791168" behindDoc="0" locked="0" layoutInCell="1" allowOverlap="1">
                      <wp:simplePos x="0" y="0"/>
                      <wp:positionH relativeFrom="margin">
                        <wp:posOffset>3433785</wp:posOffset>
                      </wp:positionH>
                      <wp:positionV relativeFrom="paragraph">
                        <wp:posOffset>3767</wp:posOffset>
                      </wp:positionV>
                      <wp:extent cx="2743495" cy="2150288"/>
                      <wp:effectExtent l="6350" t="6350" r="6350" b="6350"/>
                      <wp:wrapNone/>
                      <wp:docPr id="9" name="" hidden="false"/>
                      <wp:cNvGraphicFramePr/>
                      <a:graphic xmlns:a="http://schemas.openxmlformats.org/drawingml/2006/main">
                        <a:graphicData uri="http://schemas.openxmlformats.org/drawingml/2006/picture">
                          <pic:pic xmlns:pic="http://schemas.openxmlformats.org/drawingml/2006/picture">
                            <pic:nvPicPr>
                              <pic:cNvPr id="10" name="" hidden="0"/>
                              <pic:cNvPicPr/>
                            </pic:nvPicPr>
                            <pic:blipFill>
                              <a:blip r:embed="rId17"/>
                              <a:stretch/>
                            </pic:blipFill>
                            <pic:spPr bwMode="auto">
                              <a:xfrm flipH="0" flipV="0">
                                <a:off x="0" y="0"/>
                                <a:ext cx="2743494" cy="2150287"/>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mso-wrap-distance-left:9.0pt;mso-wrap-distance-top:0.0pt;mso-wrap-distance-right:9.0pt;mso-wrap-distance-bottom:0.0pt;z-index:502791168;o:allowoverlap:true;o:allowincell:true;mso-position-horizontal-relative:margin;margin-left:270.4pt;mso-position-horizontal:absolute;mso-position-vertical-relative:text;margin-top:0.3pt;mso-position-vertical:absolute;width:216.0pt;height:169.3pt;">
                      <v:path textboxrect="0,0,0,0"/>
                      <v:imagedata r:id="rId17" o:title=""/>
                    </v:shape>
                  </w:pict>
                </mc:Fallback>
              </mc:AlternateContent>
            </w:r>
            <w:r>
              <w:rPr>
                <w:rFonts w:ascii="Cambria" w:hAnsi="Cambria" w:cs="Times New Roman"/>
                <w:sz w:val="24"/>
              </w:rPr>
            </w:r>
            <w:r/>
          </w:p>
        </w:tc>
      </w:tr>
    </w:tbl>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t xml:space="preserve">нетрудоспособного родителя (гражданина России), состоящему в браке с гражданином России, имеющим место жительства в России, осуществившему инвест</w:t>
      </w:r>
      <w:r>
        <w:rPr>
          <w:rFonts w:ascii="Cambria" w:hAnsi="Cambria" w:cs="Times New Roman"/>
          <w:sz w:val="24"/>
          <w:szCs w:val="24"/>
        </w:rPr>
        <w:t xml:space="preserve">иции в РФ в размере, установленном Правительством РФ; являющемуся участником Государственной программы по оказанию содействия добровольному переселению в РФ соотечественников, проживающих за рубежом, и членам его семьи, переселяющимся совместно с ним в РФ.</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Для получен</w:t>
      </w:r>
      <w:r>
        <w:rPr>
          <w:rFonts w:ascii="Cambria" w:hAnsi="Cambria" w:cs="Times New Roman"/>
          <w:sz w:val="24"/>
          <w:szCs w:val="24"/>
        </w:rPr>
        <w:t xml:space="preserve">ия статуса временно проживающего, помимо заявления, нужно представить перечень документов, предусмотренный действующим российским законодательством. Получение статуса временно проживающего необходимо, если Вы собираетесь постоянно жить и работать в России.</w:t>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РВП (или разрешение на временное проживание) </w:t>
      </w:r>
      <w:r>
        <w:rPr>
          <w:rFonts w:ascii="Cambria" w:hAnsi="Cambria" w:cs="Times New Roman"/>
          <w:sz w:val="24"/>
          <w:szCs w:val="24"/>
        </w:rPr>
        <w:t xml:space="preserve">означает, что иностранец пользуется врачебными услугами на всей территории РФ, а так как с РВП получить </w:t>
      </w:r>
      <w:r>
        <w:rPr>
          <w:rFonts w:ascii="Cambria" w:hAnsi="Cambria" w:cs="Times New Roman"/>
          <w:sz w:val="24"/>
          <w:szCs w:val="24"/>
        </w:rPr>
        <w:t xml:space="preserve">медицинский полис человек вправе свободно и бесплатно, ему достаточно предъявить в страховой компании паспорт с отметкой о временном проживании в России.</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rPr>
          <w:rFonts w:ascii="Cambria" w:hAnsi="Cambria" w:cs="Times New Roman"/>
          <w:b/>
          <w:sz w:val="24"/>
          <w:szCs w:val="24"/>
        </w:rPr>
      </w:r>
      <w:r/>
    </w:p>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w:r>
      <w:r/>
    </w:p>
    <w:p>
      <w:pPr>
        <w:ind w:firstLine="709"/>
        <w:jc w:val="center"/>
        <w:spacing w:lineRule="auto" w:line="240" w:after="0"/>
        <w:rPr>
          <w:rFonts w:ascii="Cambria" w:hAnsi="Cambria" w:cs="Times New Roman"/>
          <w:b/>
          <w:sz w:val="24"/>
          <w:szCs w:val="24"/>
        </w:rPr>
      </w:pPr>
      <w:r>
        <w:rPr>
          <w:rFonts w:ascii="Cambria" w:hAnsi="Cambria" w:cs="Times New Roman"/>
          <w:sz w:val="24"/>
          <w:szCs w:val="24"/>
          <w:lang w:eastAsia="ru-RU"/>
        </w:rPr>
      </w:r>
      <w:r>
        <w:rPr>
          <w:rFonts w:ascii="Cambria" w:hAnsi="Cambria" w:cs="Times New Roman"/>
          <w:b/>
          <w:sz w:val="24"/>
          <w:szCs w:val="24"/>
        </w:rPr>
        <w:t xml:space="preserve">Постоянно прожива</w:t>
      </w:r>
      <w:r>
        <w:rPr>
          <w:rFonts w:ascii="Cambria" w:hAnsi="Cambria" w:cs="Times New Roman"/>
          <w:b/>
          <w:sz w:val="24"/>
          <w:szCs w:val="24"/>
        </w:rPr>
        <w:t xml:space="preserve">ющие на территории России иностранцы, имеющие вид на жительство(режим ВНЖ).</w:t>
      </w:r>
      <w:r>
        <w:rPr>
          <w:rFonts w:ascii="Cambria" w:hAnsi="Cambria" w:cs="Times New Roman"/>
          <w:b/>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rPr>
          <w:rFonts w:ascii="Cambria" w:hAnsi="Cambria" w:cs="Times New Roman"/>
          <w:b/>
          <w:sz w:val="24"/>
          <w:szCs w:val="24"/>
        </w:rPr>
      </w:r>
      <w:r/>
    </w:p>
    <w:tbl>
      <w:tblPr>
        <w:tblStyle w:val="571"/>
        <w:tblW w:w="0" w:type="auto"/>
        <w:tblLayout w:type="fixed"/>
        <w:tblLook w:val="04A0" w:firstRow="1" w:lastRow="0" w:firstColumn="1" w:lastColumn="0" w:noHBand="0" w:noVBand="1"/>
      </w:tblPr>
      <w:tblGrid>
        <w:gridCol w:w="5068"/>
        <w:gridCol w:w="4785"/>
      </w:tblGrid>
      <w:tr>
        <w:trPr/>
        <w:tc>
          <w:tcPr>
            <w:tcBorders>
              <w:left w:val="none" w:color="000000" w:sz="4" w:space="0"/>
              <w:top w:val="none" w:color="000000" w:sz="4" w:space="0"/>
              <w:right w:val="none" w:color="000000" w:sz="4" w:space="0"/>
              <w:bottom w:val="none" w:color="000000" w:sz="4" w:space="0"/>
            </w:tcBorders>
            <w:tcW w:w="5068"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lang w:eastAsia="ru-RU"/>
              </w:rPr>
            </w:r>
            <w:r>
              <w:rPr>
                <w:rFonts w:ascii="Cambria" w:hAnsi="Cambria" w:cs="Times New Roman"/>
                <w:sz w:val="24"/>
                <w:szCs w:val="24"/>
              </w:rPr>
              <w:t xml:space="preserve">Вид на жительство выдается иностранному гражданину бессрочно. До получения вида на жительство иностранный гражданин обязан прожить в РФ не менее 1 года в качестве временно проживающего.</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Таким образом, если Вы работаете в России, но периодически выезжаете на родину, Вам вполне достаточно статуса временно пребывающего, получить который проще всего.</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b/>
                <w:sz w:val="24"/>
                <w:szCs w:val="24"/>
              </w:rPr>
              <w:t xml:space="preserve">ВНЖ (вид на жительство)</w:t>
            </w:r>
            <w:r>
              <w:rPr>
                <w:rFonts w:ascii="Cambria" w:hAnsi="Cambria" w:cs="Times New Roman"/>
                <w:sz w:val="24"/>
                <w:szCs w:val="24"/>
              </w:rPr>
              <w:t xml:space="preserve"> предусматривает получение услуг по ОМС наравне с гражданами России, а медицинский полис с видом на жительство выдается на основании паспорта и ВНЖ.</w:t>
            </w:r>
            <w:r>
              <w:rPr>
                <w:rFonts w:ascii="Cambria" w:hAnsi="Cambria" w:cs="Times New Roman"/>
                <w:sz w:val="24"/>
                <w:szCs w:val="24"/>
                <w:lang w:eastAsia="ru-RU"/>
              </w:rPr>
            </w:r>
            <w:r/>
          </w:p>
        </w:tc>
        <w:tc>
          <w:tcPr>
            <w:tcBorders>
              <w:left w:val="none" w:color="000000" w:sz="4" w:space="0"/>
              <w:top w:val="none" w:color="000000" w:sz="4" w:space="0"/>
              <w:right w:val="none" w:color="000000" w:sz="4" w:space="0"/>
              <w:bottom w:val="none" w:color="000000" w:sz="4" w:space="0"/>
            </w:tcBorders>
            <w:tcW w:w="4785" w:type="dxa"/>
            <w:textDirection w:val="lrTb"/>
            <w:noWrap w:val="false"/>
          </w:tcPr>
          <w:p>
            <w:pPr>
              <w:rPr>
                <w:rFonts w:ascii="Cambria" w:hAnsi="Cambria" w:cs="Times New Roman"/>
                <w:sz w:val="24"/>
                <w:szCs w:val="24"/>
                <w:lang w:eastAsia="ru-RU"/>
              </w:rPr>
            </w:pPr>
            <w:r>
              <w:rPr>
                <w:rFonts w:ascii="Cambria" w:hAnsi="Cambria" w:cs="Times New Roman"/>
                <w:sz w:val="24"/>
                <w:lang w:eastAsia="ru-RU"/>
              </w:rPr>
            </w:r>
            <w:r>
              <mc:AlternateContent>
                <mc:Choice Requires="wpg">
                  <w:drawing>
                    <wp:anchor xmlns:wp="http://schemas.openxmlformats.org/drawingml/2006/wordprocessingDrawing" distT="0" distB="0" distL="114300" distR="114300" simplePos="0" relativeHeight="251658240" behindDoc="0" locked="0" layoutInCell="1" allowOverlap="1">
                      <wp:simplePos x="0" y="0"/>
                      <wp:positionH relativeFrom="column">
                        <wp:posOffset>-62880</wp:posOffset>
                      </wp:positionH>
                      <wp:positionV relativeFrom="paragraph">
                        <wp:posOffset>101760</wp:posOffset>
                      </wp:positionV>
                      <wp:extent cx="3021375" cy="2447925"/>
                      <wp:effectExtent l="6350" t="6350" r="6350" b="6350"/>
                      <wp:wrapNone/>
                      <wp:docPr id="10" name="" hidden="false"/>
                      <wp:cNvGraphicFramePr/>
                      <a:graphic xmlns:a="http://schemas.openxmlformats.org/drawingml/2006/main">
                        <a:graphicData uri="http://schemas.openxmlformats.org/drawingml/2006/picture">
                          <pic:pic xmlns:pic="http://schemas.openxmlformats.org/drawingml/2006/picture">
                            <pic:nvPicPr>
                              <pic:cNvPr id="11" name="" hidden="0"/>
                              <pic:cNvPicPr/>
                            </pic:nvPicPr>
                            <pic:blipFill>
                              <a:blip r:embed="rId18"/>
                              <a:stretch/>
                            </pic:blipFill>
                            <pic:spPr bwMode="auto">
                              <a:xfrm flipH="0" flipV="0">
                                <a:off x="0" y="0"/>
                                <a:ext cx="3021374" cy="2447924"/>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mso-wrap-distance-left:9.0pt;mso-wrap-distance-top:0.0pt;mso-wrap-distance-right:9.0pt;mso-wrap-distance-bottom:0.0pt;z-index:251658240;o:allowoverlap:true;o:allowincell:true;mso-position-horizontal-relative:text;margin-left:-5.0pt;mso-position-horizontal:absolute;mso-position-vertical-relative:text;margin-top:8.0pt;mso-position-vertical:absolute;width:237.9pt;height:192.8pt;">
                      <v:path textboxrect="0,0,0,0"/>
                      <v:imagedata r:id="rId18" o:title=""/>
                    </v:shape>
                  </w:pict>
                </mc:Fallback>
              </mc:AlternateContent>
            </w:r>
            <w:r>
              <w:rPr>
                <w:rFonts w:ascii="Cambria" w:hAnsi="Cambria" w:cs="Times New Roman"/>
                <w:sz w:val="24"/>
                <w:lang w:eastAsia="ru-RU"/>
              </w:rPr>
            </w:r>
            <w:r/>
          </w:p>
        </w:tc>
      </w:tr>
    </w:tbl>
    <w:p>
      <w:pPr>
        <w:jc w:val="center"/>
        <w:spacing w:lineRule="auto" w:line="240" w:after="0"/>
        <w:rPr>
          <w:rFonts w:ascii="Cambria" w:hAnsi="Cambria" w:cs="Cambria"/>
          <w:b/>
          <w:color w:val="000000"/>
          <w:sz w:val="24"/>
          <w:szCs w:val="24"/>
        </w:rPr>
      </w:pPr>
      <w:r>
        <w:rPr>
          <w:rFonts w:ascii="Cambria" w:hAnsi="Cambria" w:cs="Cambria"/>
          <w:b/>
          <w:color w:val="000000"/>
          <w:sz w:val="24"/>
          <w:szCs w:val="24"/>
        </w:rPr>
      </w:r>
      <w:r/>
    </w:p>
    <w:p>
      <w:pPr>
        <w:jc w:val="center"/>
        <w:spacing w:lineRule="auto" w:line="240" w:after="0"/>
        <w:rPr>
          <w:rFonts w:ascii="Cambria" w:hAnsi="Cambria" w:cs="Cambria"/>
          <w:b/>
          <w:color w:val="000000"/>
          <w:sz w:val="24"/>
          <w:szCs w:val="24"/>
        </w:rPr>
      </w:pPr>
      <w:r>
        <w:rPr>
          <w:rFonts w:ascii="Cambria" w:hAnsi="Cambria" w:cs="Cambria"/>
          <w:b/>
          <w:color w:val="000000"/>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ПРАВИЛА ТРУДОУСТРОЙСТВА ИНОСТРАННЫХ ГРАЖДАН </w:t>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В РОССИЙСКОЙ ФЕДЕРАЦИИ</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Иностранный гражданин может быть трудоустроен на работу, если ему исполнилось 18 лет. Исключение — постоянно и временно проживающие</w:t>
      </w:r>
      <w:r>
        <w:rPr>
          <w:rFonts w:ascii="Cambria" w:hAnsi="Cambria" w:cs="Times New Roman"/>
          <w:sz w:val="24"/>
          <w:szCs w:val="24"/>
        </w:rPr>
        <w:t xml:space="preserve"> иностранцы и те, кто получил временное убежище. Они, как и россияне, могут работать с 16 лет, а при определенных условиях — с 15 или даже с 14. Но на них распространяются все ограничения, которые устанавливает трудовой кодекс для труда несовершеннолетних.</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Граждане стран ЕАЭС не должны подтверждать свои дипломы, кроме тех, что связаны с педагогической, медицинской, фармацевтической и юридической деятельностью. Но если диплом на национальном языке, работодатель вправе запросить его нотариальный перевод.</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Документы воинского учета иностранцы предъявлять не должны, потому что они не военнообязанные и не могут быть призваны на военную службу в РФ.</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p>
    <w:p>
      <w:pPr>
        <w:ind w:firstLine="0"/>
        <w:jc w:val="center"/>
        <w:spacing w:lineRule="auto" w:line="240" w:after="0"/>
        <w:rPr>
          <w:rFonts w:ascii="Cambria" w:hAnsi="Cambria" w:cs="Times New Roman"/>
          <w:b/>
          <w:sz w:val="24"/>
          <w:szCs w:val="24"/>
        </w:rPr>
      </w:pPr>
      <w:r>
        <w:rPr>
          <w:rFonts w:ascii="Cambria" w:hAnsi="Cambria" w:cs="Times New Roman"/>
          <w:b/>
          <w:sz w:val="24"/>
          <w:szCs w:val="24"/>
        </w:rPr>
        <w:t xml:space="preserve">СТАТУСЫ ИНОСТРАННЫХ РАБОТНИКОВ</w:t>
      </w: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i/>
          <w:sz w:val="24"/>
          <w:szCs w:val="24"/>
        </w:rPr>
        <w:t xml:space="preserve">Постоянно проживающие</w:t>
      </w:r>
      <w:r>
        <w:rPr>
          <w:rFonts w:ascii="Cambria" w:hAnsi="Cambria" w:cs="Times New Roman"/>
          <w:sz w:val="24"/>
          <w:szCs w:val="24"/>
        </w:rPr>
        <w:t xml:space="preserve"> — те, у кого есть вид на жительство. По общему правилу ВНЖ выдается без ограничения срока действия.</w:t>
      </w:r>
      <w:r/>
    </w:p>
    <w:p>
      <w:pPr>
        <w:ind w:firstLine="709"/>
        <w:jc w:val="both"/>
        <w:spacing w:lineRule="auto" w:line="240" w:after="0"/>
        <w:rPr>
          <w:rFonts w:ascii="Cambria" w:hAnsi="Cambria" w:cs="Times New Roman"/>
          <w:sz w:val="24"/>
          <w:szCs w:val="24"/>
        </w:rPr>
      </w:pPr>
      <w:r>
        <w:rPr>
          <w:rFonts w:ascii="Cambria" w:hAnsi="Cambria" w:cs="Times New Roman"/>
          <w:b/>
          <w:i/>
          <w:sz w:val="24"/>
          <w:szCs w:val="24"/>
        </w:rPr>
        <w:t xml:space="preserve">Временно проживающие</w:t>
      </w:r>
      <w:r>
        <w:rPr>
          <w:rFonts w:ascii="Cambria" w:hAnsi="Cambria" w:cs="Times New Roman"/>
          <w:sz w:val="24"/>
          <w:szCs w:val="24"/>
        </w:rPr>
        <w:t xml:space="preserve"> — те, кто получил разрешение на временное проживание. Оно выдается на три года. Иностранцы с разрешением на временное проживание могут работать только в том субъекте РФ, где им разрешено проживать.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Постоянно или временно проживающие в РФ предоставляют вид на жительство либо национальный паспорт с отметкой о разрешении на временное проживание в РФ.</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Граждане стран — членов ЕАЭС предоставляют: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национальный паспорт;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полис ДМС или договор с медицинской организацией об оказании иностранцу медпомощи — кроме граждан Беларуси.</w:t>
      </w:r>
      <w:r/>
    </w:p>
    <w:p>
      <w:pPr>
        <w:ind w:firstLine="709"/>
        <w:jc w:val="both"/>
        <w:spacing w:lineRule="auto" w:line="240" w:after="0"/>
        <w:rPr>
          <w:rFonts w:ascii="Cambria" w:hAnsi="Cambria" w:cs="Times New Roman"/>
          <w:sz w:val="24"/>
          <w:szCs w:val="24"/>
        </w:rPr>
      </w:pPr>
      <w:r>
        <w:rPr>
          <w:rFonts w:ascii="Cambria" w:hAnsi="Cambria" w:cs="Times New Roman"/>
          <w:b/>
          <w:i/>
          <w:sz w:val="24"/>
          <w:szCs w:val="24"/>
        </w:rPr>
        <w:t xml:space="preserve">Временно пребывающие</w:t>
      </w:r>
      <w:r>
        <w:rPr>
          <w:rFonts w:ascii="Cambria" w:hAnsi="Cambria" w:cs="Times New Roman"/>
          <w:sz w:val="24"/>
          <w:szCs w:val="24"/>
        </w:rPr>
        <w:t xml:space="preserve"> — все остальные. По умолчанию безвизовые иностранцы могут временно находиться в России не более 90 дней каждые 180 дней в году.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Среди временно пребывающих иностранцев есть еще одна категория — гр</w:t>
      </w:r>
      <w:r>
        <w:rPr>
          <w:rFonts w:ascii="Cambria" w:hAnsi="Cambria" w:cs="Times New Roman"/>
          <w:sz w:val="24"/>
          <w:szCs w:val="24"/>
        </w:rPr>
        <w:t xml:space="preserve">аждане стран — членов ЕАЭС: Армении, Беларуси, Казахстана и Киргизии. Гражданин любой из этих стран и члены его семьи могут находиться в РФ до тех пор, пока действует трудовой или гражданско-правовой договор с российским работодателем или заказчиком работ.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При трудоустройстве временно пребывающие в РФ, то есть те, кто находится в стране без ВНЖ или временного разрешения, кроме граждан стран ЕАЭС, обязательно предоставляют: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национальный паспорт;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патент — без него они не имеют права работать в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полис ДМС или договор с медицинской организацией об оказании иностранцу медпомощи. Кстати, полис должен действовать по всей России, а не только в регионе работы.</w:t>
      </w:r>
      <w:r/>
    </w:p>
    <w:p>
      <w:pPr>
        <w:ind w:firstLine="709"/>
        <w:jc w:val="both"/>
        <w:spacing w:lineRule="auto" w:line="240" w:after="0"/>
        <w:rPr>
          <w:rFonts w:ascii="Cambria" w:hAnsi="Cambria" w:cs="Times New Roman"/>
          <w:sz w:val="24"/>
          <w:szCs w:val="24"/>
        </w:rPr>
      </w:pPr>
      <w:r>
        <w:rPr>
          <w:rFonts w:ascii="Cambria" w:hAnsi="Cambria" w:cs="Times New Roman"/>
          <w:b/>
          <w:i/>
          <w:sz w:val="24"/>
          <w:szCs w:val="24"/>
        </w:rPr>
        <w:t xml:space="preserve">Лица, получившие временное убежище</w:t>
      </w:r>
      <w:r>
        <w:rPr>
          <w:rFonts w:ascii="Cambria" w:hAnsi="Cambria" w:cs="Times New Roman"/>
          <w:sz w:val="24"/>
          <w:szCs w:val="24"/>
        </w:rPr>
        <w:t xml:space="preserve"> в РФ, и беженцы.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Временное убежище дают на срок до одного года. Но его можно продлевать по заявлению человека, если не исчезли обстоятельства, вынудившие его обратиться за убежищем.</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t xml:space="preserve">Лица, получившие в РФ временное убежище, предоставляют: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свидетельство о предоставлении временного убежища. Чтобы получить свидетельство, мигрант должен сдать национальный паспорт на хранение в территориальный отдел МВД;</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полис ДМС или договор с медицинской организацией об оказании иностранцу медпомощи.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ОГРАНИЧЕНИЯ ПРИ ТРУДОУСТРОЙСТВЕ ИНОСТРАННЫХ ГРАЖДАН</w:t>
      </w: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России есть сфе</w:t>
      </w:r>
      <w:r>
        <w:rPr>
          <w:rFonts w:ascii="Cambria" w:hAnsi="Cambria" w:cs="Times New Roman"/>
          <w:sz w:val="24"/>
          <w:szCs w:val="24"/>
        </w:rPr>
        <w:t xml:space="preserve">ры деятельности, где нанимать иностранцев запрещено. Например, иностранные граждане не могут быть государственными и муниципальными служащими, командирами воздушных судов, работать на объектах и в организациях, связанных с обеспечением безопасности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Региональные власти вправе ежегодно устанавливать запрет на трудоустройство в определенных от</w:t>
      </w:r>
      <w:r>
        <w:rPr>
          <w:rFonts w:ascii="Cambria" w:hAnsi="Cambria" w:cs="Times New Roman"/>
          <w:sz w:val="24"/>
          <w:szCs w:val="24"/>
        </w:rPr>
        <w:t xml:space="preserve">раслях временно пребывающих в РФ иностранцев, которым для работы нужен патент. Это делается, чтобы регулировать рынок труда в конкретном регионе и в конкретных сферах. На 2023 год такие запреты установлены в 16 регионах (Алтайский край запреты не вводил). </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ОФОРМЛЕНИЕ НА РАБОТУ ПО ПАТЕНТУ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margin">
                  <wp:posOffset>2681310</wp:posOffset>
                </wp:positionH>
                <wp:positionV relativeFrom="margin">
                  <wp:posOffset>6602095</wp:posOffset>
                </wp:positionV>
                <wp:extent cx="3524250" cy="2465165"/>
                <wp:effectExtent l="6350" t="6350" r="6350" b="6350"/>
                <wp:wrapNone/>
                <wp:docPr id="11" name="" hidden="false"/>
                <wp:cNvGraphicFramePr/>
                <a:graphic xmlns:a="http://schemas.openxmlformats.org/drawingml/2006/main">
                  <a:graphicData uri="http://schemas.openxmlformats.org/drawingml/2006/picture">
                    <pic:pic xmlns:pic="http://schemas.openxmlformats.org/drawingml/2006/picture">
                      <pic:nvPicPr>
                        <pic:cNvPr id="12" name="" hidden="0"/>
                        <pic:cNvPicPr/>
                      </pic:nvPicPr>
                      <pic:blipFill>
                        <a:blip r:embed="rId19"/>
                        <a:stretch/>
                      </pic:blipFill>
                      <pic:spPr bwMode="auto">
                        <a:xfrm flipH="0" flipV="0">
                          <a:off x="0" y="0"/>
                          <a:ext cx="3524249" cy="2465164"/>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659264;o:allowoverlap:true;o:allowincell:true;mso-position-horizontal-relative:margin;margin-left:211.1pt;mso-position-horizontal:absolute;mso-position-vertical-relative:margin;margin-top:519.9pt;mso-position-vertical:absolute;width:277.5pt;height:194.1pt;">
                <v:path textboxrect="0,0,0,0"/>
                <v:imagedata r:id="rId19" o:title=""/>
              </v:shape>
            </w:pict>
          </mc:Fallback>
        </mc:AlternateContent>
      </w:r>
      <w:r>
        <w:rPr>
          <w:rFonts w:ascii="Cambria" w:hAnsi="Cambria" w:cs="Times New Roman"/>
          <w:sz w:val="24"/>
          <w:szCs w:val="24"/>
        </w:rPr>
      </w:r>
      <w:r/>
    </w:p>
    <w:tbl>
      <w:tblPr>
        <w:tblStyle w:val="571"/>
        <w:tblW w:w="0" w:type="auto"/>
        <w:tblLayout w:type="fixed"/>
        <w:tblLook w:val="04A0" w:firstRow="1" w:lastRow="0" w:firstColumn="1" w:lastColumn="0" w:noHBand="0" w:noVBand="1"/>
      </w:tblPr>
      <w:tblGrid>
        <w:gridCol w:w="4360"/>
        <w:gridCol w:w="5494"/>
      </w:tblGrid>
      <w:tr>
        <w:trPr/>
        <w:tc>
          <w:tcPr>
            <w:tcBorders>
              <w:left w:val="none" w:color="000000" w:sz="4" w:space="0"/>
              <w:top w:val="none" w:color="000000" w:sz="4" w:space="0"/>
              <w:right w:val="none" w:color="000000" w:sz="4" w:space="0"/>
              <w:bottom w:val="none" w:color="000000" w:sz="4" w:space="0"/>
            </w:tcBorders>
            <w:tcW w:w="4360"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rPr>
            </w:r>
            <w:r>
              <w:rPr>
                <w:rFonts w:ascii="Cambria" w:hAnsi="Cambria" w:cs="Times New Roman"/>
                <w:sz w:val="24"/>
                <w:szCs w:val="24"/>
              </w:rPr>
              <w:t xml:space="preserve">Патент трудового мигранта – это официальное разрешение на осуществление трудовой деятельности на терр</w:t>
            </w:r>
            <w:r>
              <w:rPr>
                <w:rFonts w:ascii="Cambria" w:hAnsi="Cambria" w:cs="Times New Roman"/>
                <w:sz w:val="24"/>
                <w:szCs w:val="24"/>
              </w:rPr>
              <w:t xml:space="preserve">итории Российской Федерации. Патент выдается в виде стандартизированного документа, форма которого была обновлена. Актуальный бланк патента для иностранных мигрантов в 2022 году утвержден Приказом МВД от 02.11.2021 № 805, и применяется с 29.12.2021 года.</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r>
            <w:r/>
          </w:p>
        </w:tc>
        <w:tc>
          <w:tcPr>
            <w:tcBorders>
              <w:left w:val="none" w:color="000000" w:sz="4" w:space="0"/>
              <w:top w:val="none" w:color="000000" w:sz="4" w:space="0"/>
              <w:right w:val="none" w:color="000000" w:sz="4" w:space="0"/>
              <w:bottom w:val="none" w:color="000000" w:sz="4" w:space="0"/>
            </w:tcBorders>
            <w:tcW w:w="5494" w:type="dxa"/>
            <w:textDirection w:val="lrTb"/>
            <w:noWrap w:val="false"/>
          </w:tcPr>
          <w:p>
            <w:pPr>
              <w:rPr>
                <w:rFonts w:ascii="Cambria" w:hAnsi="Cambria" w:cs="Times New Roman"/>
                <w:sz w:val="24"/>
                <w:szCs w:val="24"/>
              </w:rPr>
            </w:pPr>
            <w:r>
              <w:rPr>
                <w:rFonts w:ascii="Cambria" w:hAnsi="Cambria" w:cs="Times New Roman"/>
                <w:sz w:val="24"/>
              </w:rPr>
            </w:r>
            <w:r>
              <w:rPr>
                <w:rFonts w:ascii="Cambria" w:hAnsi="Cambria" w:cs="Times New Roman"/>
                <w:sz w:val="24"/>
              </w:rPr>
            </w:r>
            <w:r/>
          </w:p>
        </w:tc>
      </w:tr>
    </w:tbl>
    <w:p>
      <w:pPr>
        <w:ind w:firstLine="709"/>
        <w:jc w:val="both"/>
        <w:spacing w:lineRule="auto" w:line="240" w:after="0"/>
        <w:rPr>
          <w:rFonts w:ascii="Cambria" w:hAnsi="Cambria" w:cs="Times New Roman"/>
        </w:rPr>
      </w:pPr>
      <w:r>
        <w:rPr>
          <w:rFonts w:ascii="Cambria" w:hAnsi="Cambria" w:cs="Times New Roman"/>
          <w:sz w:val="24"/>
          <w:szCs w:val="24"/>
        </w:rPr>
        <w:t xml:space="preserve">Приказ</w:t>
      </w:r>
      <w:r>
        <w:rPr>
          <w:rFonts w:ascii="Cambria" w:hAnsi="Cambria" w:cs="Times New Roman"/>
          <w:sz w:val="24"/>
          <w:szCs w:val="24"/>
        </w:rPr>
        <w:t xml:space="preserve">ом МВД №805 определены обязательные реквизиты патента мигранта, которые должны быть указаны в разрешении. В 2023 году документ должен содержать: фото иностранца; ФИО и дата рождения; гражданство; данные паспорта или ИНН; профессия (зависит от субъекта РФ);</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Гражданам стран СНГ для работы как у юридических лиц (индивидуальных предпринимателей), так и у физических лиц необходимо оформить патент на работу. Действует только в том субъекте Российской Федерации, в котором он получен.</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Патент оформляется Управлением по вопросам миграции Гла</w:t>
      </w:r>
      <w:r>
        <w:rPr>
          <w:rFonts w:ascii="Cambria" w:hAnsi="Cambria" w:cs="Times New Roman"/>
          <w:sz w:val="24"/>
          <w:szCs w:val="24"/>
        </w:rPr>
        <w:t xml:space="preserve">вного управления Министерства внутренних дел Российской Федерации по Алтайскому краю и уполномоченной организацией ФГУП «Паспортно-визовый сервис» МВД России, расположенные по одному адресу: Алтайский край, г. Барнаул, ул. Шевченко, д. 170, окна № 113-114.</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Срок подачи документов на оформление патента – 30 дней с момента въезда в Российскую Федерацию. Несоблюдение данного с</w:t>
      </w:r>
      <w:r>
        <w:rPr>
          <w:rFonts w:ascii="Cambria" w:hAnsi="Cambria" w:cs="Times New Roman"/>
          <w:sz w:val="24"/>
          <w:szCs w:val="24"/>
        </w:rPr>
        <w:t xml:space="preserve">рока обращения – квалифицируется как административное правонарушение, предусмотренное ст. 18.20 КоАП РФ и влечет наложение административного штрафа в размере от 10 000 до 15 000 рублей. Работать можно только по той специальности, которая указана в патенте.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Список документов, необходимых для оформления патента</w:t>
      </w:r>
      <w:r/>
    </w:p>
    <w:p>
      <w:pPr>
        <w:ind w:firstLine="709"/>
        <w:spacing w:lineRule="auto" w:line="240" w:after="0"/>
        <w:rPr>
          <w:rFonts w:ascii="Cambria" w:hAnsi="Cambria" w:cs="Times New Roman"/>
          <w:sz w:val="24"/>
          <w:szCs w:val="24"/>
        </w:rPr>
      </w:pPr>
      <w:r>
        <w:rPr>
          <w:rFonts w:ascii="Cambria" w:hAnsi="Cambria" w:cs="Times New Roman"/>
          <w:sz w:val="24"/>
          <w:szCs w:val="24"/>
        </w:rPr>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1. Заявление о выдаче патента.</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2. Паспорт.</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3. Документы о постановке на миграционный учет (по желанию гражданина).</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4. Миграционную карту с указанной целью въезда «работа». </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5. Медицинское документы, подтверждающие отсутствие заболевания наркоманией, инфекционных заболеваний, сертификат об отсутствии у данного иностранного гражданина заболевания, вызываемого вирусом иммунодефицита человека (ВИЧ-инфекции).</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6. Полис добровольного медицинского страхования.</w:t>
      </w:r>
      <w:r/>
    </w:p>
    <w:p>
      <w:pPr>
        <w:ind w:firstLine="709"/>
        <w:spacing w:lineRule="auto" w:line="240" w:after="0"/>
        <w:rPr>
          <w:rFonts w:ascii="Cambria" w:hAnsi="Cambria" w:cs="Times New Roman"/>
          <w:sz w:val="24"/>
          <w:szCs w:val="24"/>
        </w:rPr>
      </w:pPr>
      <w:r>
        <w:rPr>
          <w:rFonts w:ascii="Cambria" w:hAnsi="Cambria" w:cs="Times New Roman"/>
          <w:sz w:val="24"/>
          <w:szCs w:val="24"/>
        </w:rPr>
        <w:t xml:space="preserve">7. Документы, подтверждающие владение русским языком, знание истории России и основ законодательства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8. Фото 1 шт.  Фотография заявителя должна соответствовать возрасту заявителя на день подачи заявления о предоставлении государственной услуги, в черно-белом или цветном исполнении, размером 30 x 40 мм с четким из</w:t>
      </w:r>
      <w:r>
        <w:rPr>
          <w:rFonts w:ascii="Cambria" w:hAnsi="Cambria" w:cs="Times New Roman"/>
          <w:sz w:val="24"/>
          <w:szCs w:val="24"/>
        </w:rPr>
        <w:t xml:space="preserve">ображением лица без головного убора. На фотографии должны помещаться крупным планом голова и верхняя часть плеч заявителя, при этом расстояние от макушки до подбородка не должно быть более восьмидесяти процентов размера всего изображения (кадра по вертикал</w:t>
      </w:r>
      <w:r>
        <w:rPr>
          <w:rFonts w:ascii="Cambria" w:hAnsi="Cambria" w:cs="Times New Roman"/>
          <w:sz w:val="24"/>
          <w:szCs w:val="24"/>
        </w:rPr>
        <w:t xml:space="preserve">и). Допускается представление фотографии заявителя в головном уборе, не скрывающем овал лица заявителя, которому предоставляется государственная услуга, религиозные убеждения которого не позволяют показываться перед посторонними лицами без головных уборов.</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9. Документ, подтверждающий уплату штрафа за нарушение срока обращения за оформлением патента, в случае нарушения 30-дневного срока обращения за получением патента со дня въезда в Российскую Федерацию.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Патент оформляется в течение 10 рабочих дней со дня принятия заявления и необходимых документов.</w:t>
      </w:r>
      <w:r/>
    </w:p>
    <w:p>
      <w:pPr>
        <w:spacing w:lineRule="auto" w:line="240" w:after="0"/>
        <w:rPr>
          <w:rFonts w:ascii="Cambria" w:hAnsi="Cambria" w:cs="Times New Roman"/>
          <w:sz w:val="24"/>
          <w:szCs w:val="24"/>
        </w:rPr>
      </w:pPr>
      <w:r>
        <w:rPr>
          <w:rFonts w:ascii="Cambria" w:hAnsi="Cambria" w:cs="Times New Roman"/>
          <w:sz w:val="24"/>
          <w:szCs w:val="24"/>
        </w:rPr>
      </w:r>
      <w:r/>
    </w:p>
    <w:p>
      <w:pPr>
        <w:spacing w:lineRule="auto" w:line="240" w:after="0"/>
        <w:rPr>
          <w:rFonts w:ascii="Cambria" w:hAnsi="Cambria" w:cs="Times New Roman"/>
          <w:sz w:val="24"/>
          <w:szCs w:val="24"/>
        </w:rPr>
      </w:pPr>
      <w:r>
        <w:rPr>
          <w:rFonts w:ascii="Cambria" w:hAnsi="Cambria" w:cs="Times New Roman"/>
          <w:sz w:val="24"/>
          <w:szCs w:val="24"/>
        </w:rPr>
      </w:r>
      <w:r/>
    </w:p>
    <w:p>
      <w:pPr>
        <w:ind w:firstLine="0"/>
        <w:jc w:val="left"/>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r>
      <w:r/>
    </w:p>
    <w:p>
      <w:pPr>
        <w:ind w:firstLine="0"/>
        <w:jc w:val="left"/>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r>
      <w:r>
        <w:rPr>
          <w:rFonts w:ascii="Cambria" w:hAnsi="Cambria" w:cs="Times New Roman"/>
          <w:b/>
          <w:color w:val="000000" w:themeColor="text1"/>
          <w:sz w:val="24"/>
          <w:szCs w:val="24"/>
        </w:rPr>
      </w:r>
      <w:r/>
    </w:p>
    <w:p>
      <w:pPr>
        <w:ind w:firstLine="0"/>
        <w:jc w:val="left"/>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r>
      <w:r>
        <w:rPr>
          <w:rFonts w:ascii="Cambria" w:hAnsi="Cambria" w:cs="Times New Roman"/>
          <w:b/>
          <w:color w:val="000000" w:themeColor="text1"/>
          <w:sz w:val="24"/>
          <w:szCs w:val="24"/>
        </w:rPr>
      </w:r>
      <w:r/>
    </w:p>
    <w:p>
      <w:pPr>
        <w:ind w:firstLine="0"/>
        <w:jc w:val="left"/>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r>
      <w:r>
        <w:rPr>
          <w:rFonts w:ascii="Cambria" w:hAnsi="Cambria" w:cs="Times New Roman"/>
          <w:b/>
          <w:color w:val="000000" w:themeColor="text1"/>
          <w:sz w:val="24"/>
          <w:szCs w:val="24"/>
        </w:rPr>
      </w:r>
      <w:r/>
    </w:p>
    <w:p>
      <w:pPr>
        <w:ind w:firstLine="709"/>
        <w:jc w:val="center"/>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t xml:space="preserve">ДОКУМЕНТЫ, ГАРАНТИРУЮЩИЕ ТРУДОУСТРОЙСТВО </w:t>
      </w:r>
      <w:r/>
    </w:p>
    <w:p>
      <w:pPr>
        <w:ind w:firstLine="709"/>
        <w:jc w:val="center"/>
        <w:spacing w:lineRule="auto" w:line="240" w:after="0"/>
        <w:rPr>
          <w:rFonts w:ascii="Cambria" w:hAnsi="Cambria" w:cs="Times New Roman"/>
          <w:b/>
          <w:color w:val="000000"/>
          <w:sz w:val="24"/>
          <w:szCs w:val="24"/>
        </w:rPr>
      </w:pPr>
      <w:r>
        <w:rPr>
          <w:rFonts w:ascii="Cambria" w:hAnsi="Cambria" w:cs="Times New Roman"/>
          <w:b/>
          <w:color w:val="000000" w:themeColor="text1"/>
          <w:sz w:val="24"/>
          <w:szCs w:val="24"/>
        </w:rPr>
        <w:t xml:space="preserve">ИНОСТРАННОГО ГРАЖДАНИНА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Нелегал</w:t>
      </w:r>
      <w:r>
        <w:rPr>
          <w:rFonts w:ascii="Cambria" w:hAnsi="Cambria" w:cs="Times New Roman"/>
          <w:sz w:val="24"/>
          <w:szCs w:val="24"/>
        </w:rPr>
        <w:t xml:space="preserve">ьная работа в Российской Федерации – серьезное правонарушение. Работодатель обязана заключить с Вами договор и выдать копию этого договора.Типовой договор – соглашение между работником и работодателем, которое устанавливает их взаимные права и обязанности.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трудовом договоре обязательно указываются (согласно ст. 57 Трудового Кодекса РФ):</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фамилия, имя, отчество, наименование и юридический адрес работодателя;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фамилия, имя, отчество, наименование и юридический адрес работника;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должность и трудовые обязанности работника;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место работы – фактический адрес организации;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дата начала работы, срок действия трудового соглашения. Срок действия трудового договора не может превышать срок действия Вашего патента на работу;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условия оплаты труда, размер заработной платы, оклада, надбавок; порядок и сроки выплаты заработной платы;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режим рабочего времени.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условия об обязательном социальном страховании работника: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ежегодный оплачиваемый отпуск (не менее 28 рабочих дней), больничный, гарантии и компенсации при несчастном случае на производстве (статьи 115, 183,184 Трудового Кодекса РФ).</w:t>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В Алтайском крае МРОТ с 01.01.2023составляет 17786 рублей вмесяц.</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Работодатель обязан:</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без задержек и вычетов выплачивать заработную плату;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обеспечить рабочее место, соответствующее нормам безопасности труда;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продлить Вам срок временного пребывания в регионе РФ на период действия разрешения на работу;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уведомить Вас об особых правилах и распорядке, принятых в организации;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в случае производственной травмы или несчастного случая на производстве компенсировать нанесенный вам ущерб;</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не допускать дискриминации иностранных работников во время трудового процесса.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Иностранный гражданин обязан:</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добросовестно выполнять условия трудового договора;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письменно предупреждать работодателя о своем увольнении за 14 дней;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соблюдать правила трудового распорядка и техники безопасности;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бережно относиться к имуществу и инвентарю работодателя;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сообщать работодателю о возникновении ситуации, представляющей угрозу жизни и здоровью людей;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активно участвовать в оформлении трудовой, медицинской книжки, полиса добровольного медицинского страхования.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Иностранный гражданин имеет право:</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отказаться от выполнения работ, опасных для жизни и здоровья;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требовать предоставить копию трудового договора, расчетные листки, иные справки о сроках и размере выплаты заработной платы в срок до 3 рабочих дней;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обращаться в Государственную инспекцию труда, Управление по вопросам миграции Министерства внутренних дел Российской Федерации, прокуратуру и суд для защиты своих прав.</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Контакты Государственной инспекции труда в Алтайском крае: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656002, Алтайский край, г. Барнаул, пр. Сибирский, 24а, тел.: 8 (3852) 29-04-52, факс </w:t>
      </w:r>
      <w:r>
        <w:rPr>
          <w:rFonts w:ascii="Cambria" w:hAnsi="Cambria" w:cs="Times New Roman"/>
          <w:sz w:val="24"/>
          <w:szCs w:val="24"/>
        </w:rPr>
        <w:br/>
        <w:t xml:space="preserve">8 (3852) 29-04-70. «Горячая линия»: тел.: 8 (3852) 29-04-76, вторник-четверг с 13.00 до 17.00.</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Управление по вопросам миграции Главного управления Министерства внутренних дел Российской Федерации по Алтайскому краю: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656010, Алтайский край, г. Барнаул, ул. 1-я Западная, 47, тел.: 8 (3852) 33-05-73.</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Прокуратура Алтайского края: </w:t>
      </w:r>
      <w:r/>
    </w:p>
    <w:p>
      <w:pPr>
        <w:ind w:firstLine="709"/>
        <w:jc w:val="both"/>
        <w:spacing w:lineRule="auto" w:line="240" w:after="0"/>
        <w:rPr>
          <w:rFonts w:ascii="Cambria" w:hAnsi="Cambria" w:cs="Times New Roman"/>
          <w:color w:val="000000"/>
          <w:sz w:val="24"/>
          <w:szCs w:val="24"/>
          <w:shd w:val="clear" w:color="auto" w:fill="FFFFFF"/>
        </w:rPr>
      </w:pPr>
      <w:r>
        <w:rPr>
          <w:rFonts w:ascii="Cambria" w:hAnsi="Cambria" w:cs="Times New Roman"/>
          <w:sz w:val="24"/>
          <w:szCs w:val="24"/>
          <w:shd w:val="clear" w:color="auto" w:fill="FFFFFF"/>
        </w:rPr>
        <w:t xml:space="preserve">656068, Алтайский край, г</w:t>
      </w:r>
      <w:r>
        <w:rPr>
          <w:rFonts w:ascii="Cambria" w:hAnsi="Cambria" w:cs="Times New Roman"/>
          <w:color w:val="000000"/>
          <w:sz w:val="24"/>
          <w:szCs w:val="24"/>
          <w:shd w:val="clear" w:color="auto" w:fill="FFFFFF"/>
        </w:rPr>
        <w:t xml:space="preserve">. Барнаул, ул. Партизанская, д. 71, </w:t>
      </w:r>
      <w:r>
        <w:rPr>
          <w:rFonts w:ascii="Cambria" w:hAnsi="Cambria" w:cs="Times New Roman"/>
          <w:color w:val="000000"/>
          <w:sz w:val="24"/>
          <w:szCs w:val="24"/>
          <w:shd w:val="clear" w:color="auto" w:fill="FFFFFF"/>
        </w:rPr>
        <w:br/>
        <w:t xml:space="preserve">тел.: 8 (3852) 22-20-79.</w:t>
      </w:r>
      <w:r/>
    </w:p>
    <w:p>
      <w:pPr>
        <w:rPr>
          <w:rFonts w:ascii="Cambria" w:hAnsi="Cambria" w:cs="Times New Roman"/>
          <w:b/>
          <w:sz w:val="24"/>
          <w:szCs w:val="24"/>
        </w:rPr>
      </w:pPr>
      <w:r>
        <w:rPr>
          <w:rFonts w:ascii="Cambria" w:hAnsi="Cambria" w:cs="Times New Roman"/>
          <w:b/>
          <w:sz w:val="24"/>
          <w:szCs w:val="24"/>
        </w:rPr>
        <w:br w:type="page"/>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СОЦИАЛЬНАЯ И КУЛЬТУРНАЯ АДАПТАЦИЯ </w:t>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ИНОСТРАННОГО ГРАЖДАНИНА</w:t>
      </w:r>
      <w:r/>
    </w:p>
    <w:p>
      <w:pPr>
        <w:jc w:val="center"/>
        <w:spacing w:lineRule="auto" w:line="240" w:after="0"/>
        <w:rPr>
          <w:rFonts w:ascii="Cambria" w:hAnsi="Cambria" w:cs="Times New Roman"/>
          <w:b/>
          <w:sz w:val="24"/>
          <w:szCs w:val="24"/>
        </w:rPr>
      </w:pPr>
      <w:r>
        <w:rPr>
          <w:rFonts w:ascii="Cambria" w:hAnsi="Cambria" w:cs="Times New Roman"/>
          <w:b/>
          <w:sz w:val="24"/>
          <w:szCs w:val="24"/>
        </w:rPr>
      </w:r>
      <w:r/>
    </w:p>
    <w:p>
      <w:pPr>
        <w:jc w:val="center"/>
        <w:spacing w:lineRule="auto" w:line="240" w:after="0"/>
        <w:rPr>
          <w:rFonts w:ascii="Cambria" w:hAnsi="Cambria" w:cs="Cambria"/>
          <w:b/>
          <w:color w:val="000000"/>
          <w:sz w:val="24"/>
          <w:szCs w:val="24"/>
        </w:rPr>
      </w:pPr>
      <w:r>
        <w:rPr>
          <w:rFonts w:ascii="Cambria" w:hAnsi="Cambria" w:cs="Cambria"/>
          <w:b/>
          <w:color w:val="000000"/>
          <w:sz w:val="24"/>
          <w:szCs w:val="24"/>
        </w:rPr>
        <w:t xml:space="preserve">МЕДИЦИНСКАЯ ПОМОЩЬ</w:t>
      </w:r>
      <w:r/>
    </w:p>
    <w:p>
      <w:pPr>
        <w:spacing w:lineRule="auto" w:line="240" w:after="0"/>
        <w:rPr>
          <w:rFonts w:ascii="Cambria" w:hAnsi="Cambria" w:cs="Cambria"/>
          <w:color w:val="000000"/>
          <w:sz w:val="24"/>
          <w:szCs w:val="24"/>
        </w:rPr>
      </w:pPr>
      <w:r>
        <w:rPr>
          <w:rFonts w:ascii="Cambria" w:hAnsi="Cambria" w:cs="Cambria"/>
          <w:color w:val="000000"/>
          <w:sz w:val="24"/>
          <w:szCs w:val="24"/>
        </w:rPr>
      </w:r>
      <w: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margin">
                  <wp:posOffset>3465830</wp:posOffset>
                </wp:positionH>
                <wp:positionV relativeFrom="paragraph">
                  <wp:posOffset>174762</wp:posOffset>
                </wp:positionV>
                <wp:extent cx="2749550" cy="2311400"/>
                <wp:effectExtent l="0" t="0" r="0" b="0"/>
                <wp:wrapNone/>
                <wp:docPr id="12" name="" hidden="false"/>
                <wp:cNvGraphicFramePr/>
                <a:graphic xmlns:a="http://schemas.openxmlformats.org/drawingml/2006/main">
                  <a:graphicData uri="http://schemas.openxmlformats.org/drawingml/2006/picture">
                    <pic:pic xmlns:pic="http://schemas.openxmlformats.org/drawingml/2006/picture">
                      <pic:nvPicPr>
                        <pic:cNvPr id="13" name="" hidden="0"/>
                        <pic:cNvPicPr/>
                      </pic:nvPicPr>
                      <pic:blipFill>
                        <a:blip r:embed="rId20"/>
                        <a:stretch/>
                      </pic:blipFill>
                      <pic:spPr bwMode="auto">
                        <a:xfrm>
                          <a:off x="0" y="0"/>
                          <a:ext cx="2749549" cy="2311399"/>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664384;o:allowoverlap:true;o:allowincell:true;mso-position-horizontal-relative:margin;margin-left:272.9pt;mso-position-horizontal:absolute;mso-position-vertical-relative:text;margin-top:13.8pt;mso-position-vertical:absolute;width:216.5pt;height:182.0pt;">
                <v:path textboxrect="0,0,0,0"/>
                <v:imagedata r:id="rId20" o:title=""/>
              </v:shape>
            </w:pict>
          </mc:Fallback>
        </mc:AlternateContent>
      </w:r>
      <w:r>
        <w:rPr>
          <w:rFonts w:ascii="Cambria" w:hAnsi="Cambria" w:cs="Cambria"/>
          <w:color w:val="000000"/>
          <w:sz w:val="24"/>
          <w:szCs w:val="24"/>
        </w:rPr>
      </w:r>
      <w:r/>
    </w:p>
    <w:tbl>
      <w:tblPr>
        <w:tblStyle w:val="571"/>
        <w:tblW w:w="0" w:type="auto"/>
        <w:tblLayout w:type="fixed"/>
        <w:tblLook w:val="04A0" w:firstRow="1" w:lastRow="0" w:firstColumn="1" w:lastColumn="0" w:noHBand="0" w:noVBand="1"/>
      </w:tblPr>
      <w:tblGrid>
        <w:gridCol w:w="5494"/>
        <w:gridCol w:w="4360"/>
      </w:tblGrid>
      <w:tr>
        <w:trPr/>
        <w:tc>
          <w:tcPr>
            <w:tcBorders>
              <w:left w:val="none" w:color="000000" w:sz="4" w:space="0"/>
              <w:top w:val="none" w:color="000000" w:sz="4" w:space="0"/>
              <w:right w:val="none" w:color="000000" w:sz="4" w:space="0"/>
              <w:bottom w:val="none" w:color="000000" w:sz="4" w:space="0"/>
            </w:tcBorders>
            <w:tcW w:w="5494" w:type="dxa"/>
            <w:textDirection w:val="lrTb"/>
            <w:noWrap w:val="false"/>
          </w:tcPr>
          <w:p>
            <w:pPr>
              <w:jc w:val="both"/>
              <w:spacing w:lineRule="auto" w:line="240" w:after="0"/>
              <w:rPr>
                <w:rFonts w:ascii="Cambria" w:hAnsi="Cambria" w:cs="Cambria"/>
                <w:color w:val="000000"/>
                <w:sz w:val="24"/>
                <w:szCs w:val="24"/>
              </w:rPr>
            </w:pPr>
            <w:r>
              <w:rPr>
                <w:rFonts w:ascii="Cambria" w:hAnsi="Cambria" w:cs="Times New Roman"/>
                <w:sz w:val="24"/>
                <w:lang w:eastAsia="ru-RU"/>
              </w:rPr>
              <w:t xml:space="preserve">             </w:t>
            </w:r>
            <w:r>
              <w:rPr>
                <w:rFonts w:ascii="Cambria" w:hAnsi="Cambria" w:cs="Cambria"/>
                <w:color w:val="000000"/>
                <w:sz w:val="24"/>
                <w:szCs w:val="24"/>
              </w:rPr>
              <w:t xml:space="preserve">Все иностранные граждане, независимо от своего статуса (временного или постоянного пребывания) имеют право на м е д и ц и н с к у ю п о м о щ ь  н а  территории России. </w:t>
            </w:r>
            <w:r>
              <w:rPr>
                <w:rFonts w:ascii="Cambria" w:hAnsi="Cambria" w:cs="Cambria"/>
                <w:color w:val="000000"/>
                <w:sz w:val="24"/>
                <w:szCs w:val="24"/>
              </w:rPr>
            </w:r>
            <w:r/>
          </w:p>
          <w:p>
            <w:pPr>
              <w:jc w:val="both"/>
              <w:spacing w:lineRule="auto" w:line="240" w:after="0"/>
              <w:rPr>
                <w:rFonts w:ascii="Cambria" w:hAnsi="Cambria" w:cs="Cambria"/>
                <w:color w:val="000000"/>
              </w:rPr>
            </w:pPr>
            <w:r>
              <w:rPr>
                <w:rFonts w:ascii="Cambria" w:hAnsi="Cambria" w:cs="Cambria"/>
                <w:color w:val="000000"/>
                <w:sz w:val="24"/>
                <w:szCs w:val="24"/>
              </w:rPr>
              <w:t xml:space="preserve">М е д и ц и н с к у ю  п о м о щ ь иностранец может получить в медицинской организации любой формы собственности: государственной, муниципальной и частной больнице.</w:t>
            </w:r>
            <w:r>
              <w:rPr>
                <w:rFonts w:ascii="Cambria" w:hAnsi="Cambria" w:cs="Cambria"/>
                <w:color w:val="000000"/>
                <w:sz w:val="24"/>
                <w:szCs w:val="24"/>
              </w:rPr>
            </w:r>
            <w:r/>
          </w:p>
          <w:p>
            <w:pPr>
              <w:jc w:val="both"/>
              <w:spacing w:lineRule="auto" w:line="240" w:after="0"/>
              <w:rPr>
                <w:rFonts w:ascii="Cambria" w:hAnsi="Cambria" w:cs="Cambria"/>
                <w:color w:val="000000"/>
              </w:rPr>
            </w:pPr>
            <w:r>
              <w:rPr>
                <w:rFonts w:ascii="Cambria" w:hAnsi="Cambria" w:cs="Cambria"/>
                <w:color w:val="000000"/>
                <w:sz w:val="24"/>
                <w:szCs w:val="24"/>
              </w:rPr>
            </w:r>
            <w:r>
              <w:rPr>
                <w:rFonts w:ascii="Cambria" w:hAnsi="Cambria" w:cs="Times New Roman"/>
                <w:sz w:val="24"/>
                <w:lang w:eastAsia="ru-RU"/>
              </w:rPr>
              <w:t xml:space="preserve">             </w:t>
            </w:r>
            <w:r>
              <w:rPr>
                <w:rFonts w:ascii="Cambria" w:hAnsi="Cambria" w:cs="Cambria"/>
                <w:color w:val="000000"/>
                <w:sz w:val="24"/>
                <w:szCs w:val="24"/>
              </w:rPr>
              <w:t xml:space="preserve">В частной больнице медицинская помощь любой формы предоставляется иностранцу на платной основе (за счет личных средств). С</w:t>
            </w:r>
            <w:r>
              <w:rPr>
                <w:rFonts w:ascii="Cambria" w:hAnsi="Cambria" w:cs="Cambria"/>
                <w:color w:val="000000"/>
                <w:sz w:val="24"/>
                <w:szCs w:val="24"/>
              </w:rPr>
              <w:t xml:space="preserve"> больницей заключается договор на оказание платных медицинских услуг.</w:t>
            </w:r>
            <w:r/>
          </w:p>
        </w:tc>
        <w:tc>
          <w:tcPr>
            <w:tcBorders>
              <w:left w:val="none" w:color="000000" w:sz="4" w:space="0"/>
              <w:top w:val="none" w:color="000000" w:sz="4" w:space="0"/>
              <w:right w:val="none" w:color="000000" w:sz="4" w:space="0"/>
              <w:bottom w:val="none" w:color="000000" w:sz="4" w:space="0"/>
            </w:tcBorders>
            <w:tcW w:w="4360" w:type="dxa"/>
            <w:textDirection w:val="lrTb"/>
            <w:noWrap w:val="false"/>
          </w:tcPr>
          <w:p>
            <w:pPr>
              <w:rPr>
                <w:rFonts w:ascii="Cambria" w:hAnsi="Cambria" w:cs="Times New Roman"/>
                <w:sz w:val="24"/>
                <w:szCs w:val="24"/>
                <w:lang w:eastAsia="ru-RU"/>
              </w:rPr>
            </w:pPr>
            <w:r>
              <w:rPr>
                <w:rFonts w:ascii="Cambria" w:hAnsi="Cambria" w:cs="Times New Roman"/>
                <w:sz w:val="24"/>
                <w:lang w:eastAsia="ru-RU"/>
              </w:rPr>
            </w:r>
            <w:r>
              <w:rPr>
                <w:rFonts w:ascii="Cambria" w:hAnsi="Cambria" w:cs="Times New Roman"/>
                <w:sz w:val="24"/>
                <w:lang w:eastAsia="ru-RU"/>
              </w:rPr>
            </w:r>
            <w:r/>
          </w:p>
        </w:tc>
      </w:tr>
    </w:tbl>
    <w:p>
      <w:pPr>
        <w:ind w:firstLine="708"/>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Cambria"/>
          <w:color w:val="000000"/>
          <w:sz w:val="24"/>
          <w:szCs w:val="24"/>
        </w:rPr>
        <w:t xml:space="preserve">В государственной </w:t>
      </w:r>
      <w:r>
        <w:rPr>
          <w:rFonts w:ascii="Cambria" w:hAnsi="Cambria" w:cs="Cambria"/>
          <w:color w:val="000000"/>
          <w:sz w:val="24"/>
          <w:szCs w:val="24"/>
        </w:rPr>
        <w:t xml:space="preserve">и </w:t>
      </w:r>
      <w:r>
        <w:rPr>
          <w:rFonts w:ascii="Cambria" w:hAnsi="Cambria" w:cs="Cambria"/>
          <w:color w:val="000000"/>
          <w:sz w:val="24"/>
          <w:szCs w:val="24"/>
        </w:rPr>
        <w:t xml:space="preserve">муниципальной больнице медицинская помощь предоставляется иностранцу как бесплатно, так и на платной основе (за счет личных средств) в зависимости от его статуса.</w:t>
      </w:r>
      <w:r>
        <w:rPr>
          <w:rFonts w:ascii="Cambria" w:hAnsi="Cambria" w:cs="Times New Roman"/>
          <w:sz w:val="24"/>
          <w:szCs w:val="24"/>
          <w:lang w:eastAsia="ru-RU"/>
        </w:rPr>
      </w:r>
      <w:r/>
    </w:p>
    <w:p>
      <w:pPr>
        <w:jc w:val="center"/>
        <w:spacing w:lineRule="auto" w:line="240" w:after="0"/>
        <w:rPr>
          <w:rFonts w:ascii="Cambria" w:hAnsi="Cambria" w:cs="Cambria-Bold" w:eastAsia="Cambria-Bold"/>
          <w:b/>
          <w:bCs/>
          <w:color w:val="513E00"/>
          <w:sz w:val="24"/>
          <w:szCs w:val="24"/>
        </w:rPr>
      </w:pPr>
      <w:r>
        <w:rPr>
          <w:rFonts w:ascii="Cambria" w:hAnsi="Cambria" w:cs="Cambria-Bold" w:eastAsia="Cambria-Bold"/>
          <w:b/>
          <w:bCs/>
          <w:color w:val="513E00"/>
          <w:sz w:val="24"/>
          <w:szCs w:val="24"/>
        </w:rPr>
      </w:r>
      <w:r/>
    </w:p>
    <w:p>
      <w:pPr>
        <w:jc w:val="center"/>
        <w:spacing w:lineRule="auto" w:line="240" w:after="0"/>
        <w:rPr>
          <w:rFonts w:ascii="Cambria" w:hAnsi="Cambria" w:cs="Cambria-Bold" w:eastAsia="Cambria-Bold"/>
          <w:b/>
          <w:bCs/>
          <w:color w:val="000000"/>
          <w:sz w:val="24"/>
          <w:szCs w:val="24"/>
        </w:rPr>
      </w:pPr>
      <w:r>
        <w:rPr>
          <w:rFonts w:ascii="Cambria" w:hAnsi="Cambria" w:cs="Cambria-Bold" w:eastAsia="Cambria-Bold"/>
          <w:b/>
          <w:bCs/>
          <w:color w:val="FF0000"/>
          <w:sz w:val="24"/>
          <w:szCs w:val="24"/>
        </w:rPr>
        <w:t xml:space="preserve">ПОМНИТЕ!</w:t>
      </w:r>
      <w:r/>
    </w:p>
    <w:p>
      <w:pPr>
        <w:ind w:firstLine="708"/>
        <w:jc w:val="both"/>
        <w:spacing w:lineRule="auto" w:line="240" w:after="0"/>
        <w:rPr>
          <w:rFonts w:ascii="Cambria" w:hAnsi="Cambria" w:cs="Times New Roman"/>
          <w:sz w:val="24"/>
          <w:szCs w:val="24"/>
        </w:rPr>
      </w:pPr>
      <w:r>
        <w:rPr>
          <w:rFonts w:ascii="Cambria" w:hAnsi="Cambria" w:cs="Cambria"/>
          <w:color w:val="000000"/>
          <w:sz w:val="24"/>
          <w:szCs w:val="24"/>
        </w:rPr>
        <w:t xml:space="preserve">Скорая медицинская по</w:t>
      </w:r>
      <w:r>
        <w:rPr>
          <w:rFonts w:ascii="Cambria" w:hAnsi="Cambria" w:cs="Cambria"/>
          <w:color w:val="000000"/>
          <w:sz w:val="24"/>
          <w:szCs w:val="24"/>
        </w:rPr>
        <w:t xml:space="preserve">мощь в России оказывается всем категориям граждан бесплатно. Это вид медицинской помощи при состояниях, требующих срочного медицинского вмешательства (несчастные случаи, травмы, отравления и другие состояния, требующие срочного медицинского вмешательства).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center"/>
        <w:spacing w:lineRule="auto" w:line="240" w:after="0"/>
        <w:rPr>
          <w:rFonts w:ascii="Cambria" w:hAnsi="Cambria" w:cs="Times New Roman"/>
          <w:b/>
          <w:sz w:val="32"/>
          <w:szCs w:val="32"/>
        </w:rPr>
      </w:pPr>
      <w:r>
        <w:rPr>
          <w:rFonts w:ascii="Cambria" w:hAnsi="Cambria" w:cs="Times New Roman"/>
          <w:b/>
          <w:sz w:val="32"/>
          <w:szCs w:val="32"/>
        </w:rPr>
        <w:t xml:space="preserve">Медицинское страхование иностранных граждан</w:t>
      </w:r>
      <w:r/>
    </w:p>
    <w:p>
      <w:pPr>
        <w:ind w:firstLine="709"/>
        <w:jc w:val="center"/>
        <w:spacing w:lineRule="auto" w:line="240" w:after="0"/>
        <w:rPr>
          <w:rFonts w:ascii="Cambria" w:hAnsi="Cambria"/>
          <w:b/>
          <w:color w:val="111111"/>
          <w:shd w:val="clear" w:color="auto" w:fill="FFFFFF"/>
        </w:rPr>
      </w:pPr>
      <w:r>
        <w:rPr>
          <w:rFonts w:ascii="Cambria" w:hAnsi="Cambria"/>
          <w:b/>
          <w:color w:val="111111"/>
          <w:sz w:val="32"/>
          <w:szCs w:val="32"/>
          <w:shd w:val="clear" w:color="auto" w:fill="FFFFFF"/>
        </w:rPr>
      </w:r>
      <w: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column">
                  <wp:posOffset>3701710</wp:posOffset>
                </wp:positionH>
                <wp:positionV relativeFrom="paragraph">
                  <wp:posOffset>389519</wp:posOffset>
                </wp:positionV>
                <wp:extent cx="2418420" cy="3233570"/>
                <wp:effectExtent l="6350" t="6350" r="6350" b="6350"/>
                <wp:wrapNone/>
                <wp:docPr id="13" name="" hidden="false"/>
                <wp:cNvGraphicFramePr/>
                <a:graphic xmlns:a="http://schemas.openxmlformats.org/drawingml/2006/main">
                  <a:graphicData uri="http://schemas.openxmlformats.org/drawingml/2006/picture">
                    <pic:pic xmlns:pic="http://schemas.openxmlformats.org/drawingml/2006/picture">
                      <pic:nvPicPr>
                        <pic:cNvPr id="14" name="" hidden="0"/>
                        <pic:cNvPicPr/>
                      </pic:nvPicPr>
                      <pic:blipFill>
                        <a:blip r:embed="rId21"/>
                        <a:stretch/>
                      </pic:blipFill>
                      <pic:spPr bwMode="auto">
                        <a:xfrm flipH="0" flipV="0">
                          <a:off x="0" y="0"/>
                          <a:ext cx="2418419" cy="3233569"/>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663360;o:allowoverlap:true;o:allowincell:true;mso-position-horizontal-relative:text;margin-left:291.5pt;mso-position-horizontal:absolute;mso-position-vertical-relative:text;margin-top:30.7pt;mso-position-vertical:absolute;width:190.4pt;height:254.6pt;">
                <v:path textboxrect="0,0,0,0"/>
                <v:imagedata r:id="rId21" o:title=""/>
              </v:shape>
            </w:pict>
          </mc:Fallback>
        </mc:AlternateContent>
      </w:r>
      <w:r>
        <w:rPr>
          <w:rFonts w:ascii="Cambria" w:hAnsi="Cambria"/>
          <w:b/>
          <w:color w:val="111111"/>
          <w:sz w:val="32"/>
          <w:szCs w:val="32"/>
          <w:shd w:val="clear" w:color="auto" w:fill="FFFFFF"/>
        </w:rPr>
        <w:t xml:space="preserve">Виды медицинского страхования: ОМС, ДМС</w:t>
      </w:r>
      <w:r>
        <w:rPr>
          <w:rFonts w:ascii="Cambria" w:hAnsi="Cambria"/>
          <w:b/>
          <w:color w:val="111111"/>
        </w:rPr>
        <w:br/>
      </w:r>
      <w:r/>
    </w:p>
    <w:tbl>
      <w:tblPr>
        <w:tblStyle w:val="571"/>
        <w:tblW w:w="0" w:type="auto"/>
        <w:tblLayout w:type="fixed"/>
        <w:tblLook w:val="04A0" w:firstRow="1" w:lastRow="0" w:firstColumn="1" w:lastColumn="0" w:noHBand="0" w:noVBand="1"/>
      </w:tblPr>
      <w:tblGrid>
        <w:gridCol w:w="5635"/>
        <w:gridCol w:w="4218"/>
      </w:tblGrid>
      <w:tr>
        <w:trPr/>
        <w:tc>
          <w:tcPr>
            <w:tcBorders>
              <w:left w:val="none" w:color="000000" w:sz="4" w:space="0"/>
              <w:top w:val="none" w:color="000000" w:sz="4" w:space="0"/>
              <w:right w:val="none" w:color="000000" w:sz="4" w:space="0"/>
              <w:bottom w:val="none" w:color="000000" w:sz="4" w:space="0"/>
            </w:tcBorders>
            <w:tcW w:w="5635" w:type="dxa"/>
            <w:textDirection w:val="lrTb"/>
            <w:noWrap w:val="false"/>
          </w:tcPr>
          <w:p>
            <w:pPr>
              <w:ind w:firstLine="709"/>
              <w:jc w:val="both"/>
              <w:spacing w:lineRule="auto" w:line="240" w:after="0"/>
              <w:rPr>
                <w:rFonts w:ascii="Cambria" w:hAnsi="Cambria" w:cs="Times New Roman"/>
              </w:rPr>
            </w:pPr>
            <w:r>
              <w:rPr>
                <w:rFonts w:ascii="Cambria" w:hAnsi="Cambria" w:cs="Times New Roman"/>
                <w:b/>
                <w:sz w:val="24"/>
                <w:szCs w:val="24"/>
              </w:rPr>
              <w:t xml:space="preserve">ДМС (или добровольное медицинское страхование) – платная услуга.</w:t>
            </w:r>
            <w:r>
              <w:rPr>
                <w:rFonts w:ascii="Cambria" w:hAnsi="Cambria" w:cs="Times New Roman"/>
                <w:sz w:val="24"/>
                <w:szCs w:val="24"/>
              </w:rPr>
              <w:t xml:space="preserve"> Она позволяет приобрести комплекс дополнительных медицинских услуг, которые не входят в ОМС. ДМС часто используется компаниями, которые проявляют заботу о своих сотрудниках. В ДМС включают </w:t>
            </w:r>
            <w:r>
              <w:rPr>
                <w:rFonts w:ascii="Cambria" w:hAnsi="Cambria" w:cs="Times New Roman"/>
                <w:sz w:val="24"/>
                <w:szCs w:val="24"/>
              </w:rPr>
              <w:t xml:space="preserve">услуги стоматолога по протезированию, дополнительные исследования или курс массажа. Иностранцы, которые не имеют права на ОМС, вправе использовать добровольное медицинское страхование для иностранных граждан, чтобы обращаться к врачам на территории России.</w:t>
            </w:r>
            <w:r>
              <w:rPr>
                <w:rFonts w:ascii="Cambria" w:hAnsi="Cambria" w:cs="Times New Roman"/>
                <w:sz w:val="24"/>
                <w:szCs w:val="24"/>
              </w:rPr>
            </w:r>
            <w:r/>
          </w:p>
          <w:p>
            <w:pPr>
              <w:ind w:firstLine="709"/>
              <w:jc w:val="both"/>
              <w:spacing w:lineRule="auto" w:line="240" w:after="0"/>
              <w:rPr>
                <w:rFonts w:ascii="Cambria" w:hAnsi="Cambria" w:cs="Times New Roman"/>
                <w:sz w:val="24"/>
              </w:rPr>
            </w:pPr>
            <w:r>
              <w:rPr>
                <w:rFonts w:ascii="Cambria" w:hAnsi="Cambria" w:cs="Times New Roman"/>
                <w:sz w:val="24"/>
                <w:szCs w:val="24"/>
              </w:rPr>
              <w:t xml:space="preserve">Для того чтобы меть возможность пользоваться медицинскими услугами, необходимо иметь полис добровольного медицинского страхования (ДМС). Он </w:t>
            </w:r>
            <w:r>
              <w:rPr>
                <w:rFonts w:ascii="Cambria" w:hAnsi="Cambria" w:cs="Times New Roman"/>
                <w:sz w:val="24"/>
                <w:szCs w:val="24"/>
              </w:rPr>
            </w:r>
            <w:r/>
          </w:p>
        </w:tc>
        <w:tc>
          <w:tcPr>
            <w:tcBorders>
              <w:left w:val="none" w:color="000000" w:sz="4" w:space="0"/>
              <w:top w:val="none" w:color="000000" w:sz="4" w:space="0"/>
              <w:right w:val="none" w:color="000000" w:sz="4" w:space="0"/>
              <w:bottom w:val="none" w:color="000000" w:sz="4" w:space="0"/>
            </w:tcBorders>
            <w:tcW w:w="4218" w:type="dxa"/>
            <w:textDirection w:val="lrTb"/>
            <w:noWrap w:val="false"/>
          </w:tcPr>
          <w:p>
            <w:pPr>
              <w:rPr>
                <w:rFonts w:ascii="Cambria" w:hAnsi="Cambria" w:cs="Times New Roman"/>
                <w:b/>
                <w:sz w:val="24"/>
                <w:szCs w:val="24"/>
              </w:rPr>
            </w:pPr>
            <w:r>
              <w:rPr>
                <w:rFonts w:ascii="Cambria" w:hAnsi="Cambria" w:cs="Times New Roman"/>
                <w:b/>
                <w:sz w:val="24"/>
              </w:rPr>
            </w:r>
            <w:r>
              <w:rPr>
                <w:rFonts w:ascii="Cambria" w:hAnsi="Cambria" w:cs="Times New Roman"/>
                <w:b/>
                <w:sz w:val="24"/>
              </w:rPr>
            </w:r>
            <w:r/>
          </w:p>
        </w:tc>
      </w:tr>
    </w:tbl>
    <w:p>
      <w:pPr>
        <w:ind w:firstLine="709"/>
        <w:jc w:val="both"/>
        <w:spacing w:lineRule="auto" w:line="240" w:after="0"/>
        <w:rPr>
          <w:rFonts w:ascii="Cambria" w:hAnsi="Cambria" w:cs="Times New Roman"/>
          <w:b/>
          <w:sz w:val="24"/>
          <w:szCs w:val="24"/>
        </w:rPr>
      </w:pPr>
      <w:r>
        <w:rPr>
          <w:rFonts w:ascii="Cambria" w:hAnsi="Cambria" w:cs="Times New Roman"/>
          <w:sz w:val="24"/>
          <w:szCs w:val="24"/>
          <w:lang w:eastAsia="ru-RU"/>
        </w:rPr>
      </w:r>
      <w:r>
        <w:rPr>
          <w:rFonts w:ascii="Cambria" w:hAnsi="Cambria" w:cs="Times New Roman"/>
          <w:sz w:val="24"/>
          <w:szCs w:val="24"/>
        </w:rPr>
        <w:t xml:space="preserve">оформляется в офисах страховых компаний и отделениях «Почты России».</w:t>
      </w:r>
      <w:r>
        <w:rPr>
          <w:rFonts w:ascii="Cambria" w:hAnsi="Cambria" w:cs="Times New Roman"/>
          <w:b/>
          <w:sz w:val="24"/>
          <w:szCs w:val="24"/>
        </w:rPr>
      </w:r>
      <w:r/>
    </w:p>
    <w:p>
      <w:pPr>
        <w:ind w:firstLine="708"/>
        <w:jc w:val="both"/>
        <w:spacing w:lineRule="auto" w:line="240" w:after="0"/>
        <w:rPr>
          <w:rFonts w:ascii="Cambria" w:hAnsi="Cambria" w:cs="Times New Roman"/>
          <w:sz w:val="24"/>
          <w:szCs w:val="24"/>
        </w:rPr>
      </w:pPr>
      <w:r>
        <w:rPr>
          <w:rFonts w:ascii="Cambria" w:hAnsi="Cambria" w:cs="Times New Roman"/>
          <w:sz w:val="24"/>
          <w:szCs w:val="24"/>
        </w:rPr>
      </w:r>
      <w:r/>
    </w:p>
    <w:p>
      <w:pPr>
        <w:ind w:firstLine="708"/>
        <w:jc w:val="both"/>
        <w:spacing w:lineRule="auto" w:line="240" w:after="0"/>
        <w:rPr>
          <w:rFonts w:ascii="Cambria" w:hAnsi="Cambria" w:cs="Times New Roman"/>
          <w:sz w:val="24"/>
          <w:szCs w:val="24"/>
        </w:rPr>
      </w:pPr>
      <w:r>
        <w:rPr>
          <w:rFonts w:ascii="Cambria" w:hAnsi="Cambria" w:cs="Times New Roman"/>
          <w:sz w:val="24"/>
          <w:szCs w:val="24"/>
        </w:rPr>
        <w:t xml:space="preserve">По полису добровольного медицинского страхования можно получить: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экстренную помощь в поликлинике;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скорую и неотложную медицинскую помощь;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экстренную помощь в больнице;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другие услуги, предусмотренные в договоре добровольного медицинского страхования.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Чтобы оформить полис добровольного медицинского страхования, нужны следующие документы: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 и нотариально заверенный перевод паспорта;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миграционная карта и ее копия;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в миграционный учет и его копия.</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margin">
                  <wp:posOffset>3052785</wp:posOffset>
                </wp:positionH>
                <wp:positionV relativeFrom="paragraph">
                  <wp:posOffset>170241</wp:posOffset>
                </wp:positionV>
                <wp:extent cx="3143545" cy="1924413"/>
                <wp:effectExtent l="6350" t="6350" r="6350" b="6350"/>
                <wp:wrapNone/>
                <wp:docPr id="14" name="" hidden="false"/>
                <wp:cNvGraphicFramePr/>
                <a:graphic xmlns:a="http://schemas.openxmlformats.org/drawingml/2006/main">
                  <a:graphicData uri="http://schemas.openxmlformats.org/drawingml/2006/picture">
                    <pic:pic xmlns:pic="http://schemas.openxmlformats.org/drawingml/2006/picture">
                      <pic:nvPicPr>
                        <pic:cNvPr id="15" name="" hidden="0"/>
                        <pic:cNvPicPr/>
                      </pic:nvPicPr>
                      <pic:blipFill>
                        <a:blip r:embed="rId22"/>
                        <a:stretch/>
                      </pic:blipFill>
                      <pic:spPr bwMode="auto">
                        <a:xfrm flipH="0" flipV="0">
                          <a:off x="0" y="0"/>
                          <a:ext cx="3143544" cy="1924413"/>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662336;o:allowoverlap:true;o:allowincell:true;mso-position-horizontal-relative:margin;margin-left:240.4pt;mso-position-horizontal:absolute;mso-position-vertical-relative:text;margin-top:13.4pt;mso-position-vertical:absolute;width:247.5pt;height:151.5pt;">
                <v:path textboxrect="0,0,0,0"/>
                <v:imagedata r:id="rId22" o:title=""/>
              </v:shape>
            </w:pict>
          </mc:Fallback>
        </mc:AlternateContent>
      </w:r>
      <w:r>
        <w:rPr>
          <w:rFonts w:ascii="Cambria" w:hAnsi="Cambria" w:cs="Times New Roman"/>
          <w:b/>
          <w:sz w:val="24"/>
          <w:szCs w:val="24"/>
        </w:rPr>
      </w:r>
      <w:r/>
    </w:p>
    <w:tbl>
      <w:tblPr>
        <w:tblStyle w:val="571"/>
        <w:tblW w:w="0" w:type="auto"/>
        <w:tblLook w:val="04A0" w:firstRow="1" w:lastRow="0" w:firstColumn="1" w:lastColumn="0" w:noHBand="0" w:noVBand="1"/>
      </w:tblPr>
      <w:tblGrid>
        <w:gridCol w:w="4927"/>
        <w:gridCol w:w="4927"/>
      </w:tblGrid>
      <w:tr>
        <w:trPr/>
        <w:tc>
          <w:tcPr>
            <w:tcBorders>
              <w:left w:val="none" w:color="000000" w:sz="4" w:space="0"/>
              <w:top w:val="none" w:color="000000" w:sz="4" w:space="0"/>
              <w:right w:val="none" w:color="000000" w:sz="4" w:space="0"/>
              <w:bottom w:val="none" w:color="000000" w:sz="4" w:space="0"/>
            </w:tcBorders>
            <w:tcW w:w="4927"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lang w:eastAsia="ru-RU"/>
              </w:rPr>
            </w:r>
            <w:r>
              <w:rPr>
                <w:rFonts w:ascii="Cambria" w:hAnsi="Cambria" w:cs="Times New Roman"/>
                <w:b/>
                <w:sz w:val="24"/>
                <w:szCs w:val="24"/>
              </w:rPr>
              <w:t xml:space="preserve">ОМС (обязательное медицинское страхование) – </w:t>
            </w:r>
            <w:r>
              <w:rPr>
                <w:rFonts w:ascii="Cambria" w:hAnsi="Cambria" w:cs="Times New Roman"/>
                <w:sz w:val="24"/>
                <w:szCs w:val="24"/>
              </w:rPr>
              <w:t xml:space="preserve">это гарантированное Конституцией РФ право на получение комплекса услуг здравоохранения бесплатно. </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В России ОМС вправе оформить не только россиянин, бесплатную помощь врачи окажут следующим гостям государства: получившие </w:t>
            </w:r>
            <w:r>
              <w:rPr>
                <w:rFonts w:ascii="Cambria" w:hAnsi="Cambria" w:cs="Times New Roman"/>
                <w:sz w:val="24"/>
                <w:szCs w:val="24"/>
              </w:rPr>
              <w:t xml:space="preserve">разрешение на временное пребывание и работающие; получившие вид на жительство; </w:t>
            </w:r>
            <w:r/>
          </w:p>
        </w:tc>
        <w:tc>
          <w:tcPr>
            <w:tcBorders>
              <w:left w:val="none" w:color="000000" w:sz="4" w:space="0"/>
              <w:top w:val="none" w:color="000000" w:sz="4" w:space="0"/>
              <w:right w:val="none" w:color="000000" w:sz="4" w:space="0"/>
              <w:bottom w:val="none" w:color="000000" w:sz="4" w:space="0"/>
            </w:tcBorders>
            <w:tcW w:w="4927" w:type="dxa"/>
            <w:textDirection w:val="lrTb"/>
            <w:noWrap w:val="false"/>
          </w:tcPr>
          <w:p>
            <w:pPr>
              <w:rPr>
                <w:rFonts w:ascii="Cambria" w:hAnsi="Cambria" w:cs="Times New Roman"/>
                <w:sz w:val="24"/>
                <w:szCs w:val="24"/>
                <w:lang w:eastAsia="ru-RU"/>
              </w:rPr>
            </w:pPr>
            <w:r>
              <w:rPr>
                <w:rFonts w:ascii="Cambria" w:hAnsi="Cambria" w:cs="Times New Roman"/>
                <w:sz w:val="24"/>
                <w:lang w:eastAsia="ru-RU"/>
              </w:rPr>
            </w:r>
            <w:r>
              <w:rPr>
                <w:rFonts w:ascii="Cambria" w:hAnsi="Cambria" w:cs="Times New Roman"/>
                <w:sz w:val="24"/>
                <w:lang w:eastAsia="ru-RU"/>
              </w:rPr>
            </w:r>
            <w:r/>
          </w:p>
        </w:tc>
      </w:tr>
    </w:tbl>
    <w:p>
      <w:pPr>
        <w:ind w:firstLine="709"/>
        <w:jc w:val="both"/>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rPr>
        <w:t xml:space="preserve">получившие статус беженца; жители стран Евразийского экономического союза, официально трудоустроенные в России. К странам ЕАЭС относятся Армения, Беларусь, Казахстан и Киргизия.</w:t>
      </w:r>
      <w:r>
        <w:rPr>
          <w:rFonts w:ascii="Cambria" w:hAnsi="Cambria" w:cs="Times New Roman"/>
          <w:sz w:val="24"/>
          <w:szCs w:val="24"/>
          <w:lang w:eastAsia="ru-RU"/>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Если обязательное страхование д</w:t>
      </w:r>
      <w:r>
        <w:rPr>
          <w:rFonts w:ascii="Cambria" w:hAnsi="Cambria" w:cs="Times New Roman"/>
          <w:sz w:val="24"/>
          <w:szCs w:val="24"/>
        </w:rPr>
        <w:t xml:space="preserve">ля человека невозможно (он не подходит под категории для ОМС), то делать медицинский полис иностранному гражданину придется самому, за собственные средства. Он вправе выбрать любую подходящую страховую компанию и программу по своим финансовым возможностям.</w:t>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ОМС для студентов и детей. </w:t>
      </w:r>
      <w:r>
        <w:rPr>
          <w:rFonts w:ascii="Cambria" w:hAnsi="Cambria" w:cs="Times New Roman"/>
          <w:sz w:val="24"/>
          <w:szCs w:val="24"/>
        </w:rPr>
        <w:t xml:space="preserve">Дети иностранцев, проживающие в РФ, получают врачебную помощь на тех же основаниях, что и их родители. Если родители застрахованы, то и дети тоже. О студентах: так как у студентов-иностранцев в силу Закона № 326-ФЗ нет права на ОМС, то для</w:t>
      </w:r>
      <w:r>
        <w:rPr>
          <w:rFonts w:ascii="Cambria" w:hAnsi="Cambria" w:cs="Times New Roman"/>
          <w:sz w:val="24"/>
          <w:szCs w:val="24"/>
        </w:rPr>
        <w:t xml:space="preserve"> них действуют льготные ставки по ДМС. Иностранный студент не лишен права на бесплатную экстренную помощь, если это необходимо, а для получения пониженной стоимости страховки с усеченной программой ДМС студенту достаточно предъявить документы об обучении. </w:t>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Как оформить.</w:t>
      </w:r>
      <w:r>
        <w:rPr>
          <w:rFonts w:ascii="Cambria" w:hAnsi="Cambria" w:cs="Times New Roman"/>
          <w:sz w:val="24"/>
          <w:szCs w:val="24"/>
        </w:rPr>
        <w:t xml:space="preserve"> Документ оформляется несколькими способами. Если иностранец не трудоустроен официально или является индиви</w:t>
      </w:r>
      <w:r>
        <w:rPr>
          <w:rFonts w:ascii="Cambria" w:hAnsi="Cambria" w:cs="Times New Roman"/>
          <w:sz w:val="24"/>
          <w:szCs w:val="24"/>
        </w:rPr>
        <w:t xml:space="preserve">дуальным предпринимателем, то он все делает самостоятельно: выбирает страховую компанию из реестра страховых компаний на официальном сайте Федерального ФОМС, готовит документы и пишет заявление в офисе этой компании или же посредством электронного документ</w:t>
      </w:r>
      <w:r>
        <w:rPr>
          <w:rFonts w:ascii="Cambria" w:hAnsi="Cambria" w:cs="Times New Roman"/>
          <w:sz w:val="24"/>
          <w:szCs w:val="24"/>
        </w:rPr>
        <w:t xml:space="preserve">ооборота. При наличии официального места работы, вопросами о том, как получить медицинский полис иностранному гражданину или ребенку иностранца, занимается работодатель. Он предоставляет необходимые сведения в страховую компанию, которая оформит документы.</w:t>
      </w:r>
      <w:r/>
    </w:p>
    <w:p>
      <w:pPr>
        <w:jc w:val="center"/>
        <w:spacing w:lineRule="auto" w:line="240" w:after="0"/>
        <w:rPr>
          <w:rFonts w:ascii="Cambria" w:hAnsi="Cambria" w:cs="Times New Roman"/>
          <w:b/>
          <w:sz w:val="24"/>
          <w:szCs w:val="24"/>
        </w:rPr>
      </w:pPr>
      <w:r>
        <w:rPr>
          <w:rFonts w:ascii="Cambria" w:hAnsi="Cambria" w:cs="Times New Roman"/>
          <w:b/>
          <w:sz w:val="24"/>
          <w:szCs w:val="24"/>
          <w:lang w:eastAsia="ru-RU"/>
        </w:rPr>
      </w:r>
      <w:r>
        <w:rPr>
          <w:rFonts w:ascii="Cambria" w:hAnsi="Cambria" w:cs="Times New Roman"/>
          <w:b/>
          <w:sz w:val="24"/>
          <w:szCs w:val="24"/>
          <w:lang w:eastAsia="ru-RU"/>
        </w:rPr>
        <mc:AlternateContent>
          <mc:Choice Requires="wpg">
            <w:drawing>
              <wp:inline xmlns:wp="http://schemas.openxmlformats.org/drawingml/2006/wordprocessingDrawing" distT="0" distB="0" distL="0" distR="0">
                <wp:extent cx="4219575" cy="2809875"/>
                <wp:effectExtent l="0" t="0" r="0" b="0"/>
                <wp:docPr id="15" name="" hidden="false"/>
                <wp:cNvGraphicFramePr/>
                <a:graphic xmlns:a="http://schemas.openxmlformats.org/drawingml/2006/main">
                  <a:graphicData uri="http://schemas.openxmlformats.org/drawingml/2006/picture">
                    <pic:pic xmlns:pic="http://schemas.openxmlformats.org/drawingml/2006/picture">
                      <pic:nvPicPr>
                        <pic:cNvPr id="16" name="" hidden="0"/>
                        <pic:cNvPicPr/>
                      </pic:nvPicPr>
                      <pic:blipFill>
                        <a:blip r:embed="rId23"/>
                        <a:stretch/>
                      </pic:blipFill>
                      <pic:spPr bwMode="auto">
                        <a:xfrm>
                          <a:off x="0" y="0"/>
                          <a:ext cx="4219575" cy="28098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32.2pt;height:221.2pt;">
                <v:path textboxrect="0,0,0,0"/>
                <v:imagedata r:id="rId23" o:title=""/>
              </v:shape>
            </w:pict>
          </mc:Fallback>
        </mc:AlternateContent>
      </w:r>
      <w:r/>
    </w:p>
    <w:p>
      <w:pPr>
        <w:jc w:val="center"/>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Иностранные граждане с 1 января 2023 года смогут оформить полис ОМС. Временно пребывающие в РФ иностранные граждане и лица без гражданства (за исключением высококвалифицированных специалистов, а также иностранных граждан, ос</w:t>
      </w:r>
      <w:r>
        <w:rPr>
          <w:rFonts w:ascii="Cambria" w:hAnsi="Cambria" w:cs="Times New Roman"/>
          <w:sz w:val="24"/>
          <w:szCs w:val="24"/>
        </w:rPr>
        <w:t xml:space="preserve">уществляющих в РФ трудовую деятельность в соответствии со ст. 13.5 Закона о правовом положении иностранных граждан), а также постоянно или временно проживающие в России ВКС включаются в перечень лиц, подлежащих обязательному медицинскому страхованию (ОМС).</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результате изменений временно пребывающие в России иностранные граждане, работающие по трудовым и гражданско-правовым договорам (за исключением временно пребывающих в России ВКС), не должны будут оформлять полис ДМС перед трудоустройством, предъявлять ег</w:t>
      </w:r>
      <w:r>
        <w:rPr>
          <w:rFonts w:ascii="Cambria" w:hAnsi="Cambria" w:cs="Times New Roman"/>
          <w:sz w:val="24"/>
          <w:szCs w:val="24"/>
        </w:rPr>
        <w:t xml:space="preserve">о при приеме на работу, иметь действующий полис ДМС при осуществлении трудовой деятельности. При этом такие иностранные сотрудники смогут пользоваться услугами в рамках ОМС только после того, как работодатели в течение трёх лет будут платить за них взносы.</w:t>
      </w:r>
      <w:r>
        <w:rPr>
          <w:rFonts w:ascii="Cambria" w:hAnsi="Cambria" w:cs="Times New Roman"/>
          <w:b/>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r>
      <w:r>
        <w:rPr>
          <w:rFonts w:ascii="Cambria" w:hAnsi="Cambria" w:cs="Times New Roman"/>
          <w:b/>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r>
      <w:r>
        <w:rPr>
          <w:rFonts w:ascii="Cambria" w:hAnsi="Cambria" w:cs="Times New Roman"/>
          <w:b/>
          <w:sz w:val="24"/>
          <w:szCs w:val="24"/>
        </w:rPr>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ЖИЛЬЕ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Если Вы устроились на работу, оформив нужные документы, Вам предстоит определенное время жить в России. Пытаясь найти жилье, обращайтесь в надежные агентства н</w:t>
      </w:r>
      <w:r>
        <w:rPr>
          <w:rFonts w:ascii="Cambria" w:hAnsi="Cambria" w:cs="Times New Roman"/>
          <w:sz w:val="24"/>
          <w:szCs w:val="24"/>
        </w:rPr>
        <w:t xml:space="preserve">едвижимости, которые имеют свой офис, работают открыто под собственной вывеской. С агентством Вы заключаете отдельный договор на оказание услуг, работники агентства подбирают удобный вариант и сопровождают Вас во время просмотра и встречи с хозяином жилья.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center"/>
        <w:spacing w:lineRule="auto" w:line="240" w:after="0"/>
        <w:rPr>
          <w:rFonts w:ascii="Cambria" w:hAnsi="Cambria" w:cs="Times New Roman"/>
          <w:b/>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b/>
          <w:i/>
          <w:color w:val="FF0000"/>
          <w:sz w:val="24"/>
          <w:szCs w:val="24"/>
        </w:rPr>
        <w:t xml:space="preserve">ПРЕДУПРЕЖДЕНИЕ</w:t>
      </w:r>
      <w:r/>
    </w:p>
    <w:p>
      <w:pPr>
        <w:ind w:firstLine="709"/>
        <w:jc w:val="both"/>
        <w:spacing w:lineRule="auto" w:line="240" w:after="0"/>
        <w:rPr>
          <w:rFonts w:ascii="Cambria" w:hAnsi="Cambria" w:cs="Times New Roman"/>
          <w:i/>
          <w:color w:val="FF0000"/>
          <w:sz w:val="24"/>
          <w:szCs w:val="24"/>
        </w:rPr>
        <w:pBdr>
          <w:left w:val="single" w:sz="4" w:space="4" w:color="auto"/>
          <w:top w:val="single" w:sz="4" w:space="1" w:color="auto"/>
          <w:right w:val="single" w:sz="4" w:space="4" w:color="auto"/>
          <w:bottom w:val="single" w:sz="4" w:space="1" w:color="auto"/>
        </w:pBdr>
      </w:pPr>
      <w:r>
        <w:rPr>
          <w:rFonts w:ascii="Cambria" w:hAnsi="Cambria" w:cs="Times New Roman"/>
          <w:i/>
          <w:color w:val="FF0000"/>
          <w:sz w:val="24"/>
          <w:szCs w:val="24"/>
        </w:rPr>
        <w:t xml:space="preserve">Будьте осторожны –</w:t>
      </w:r>
      <w:r>
        <w:rPr>
          <w:rFonts w:ascii="Cambria" w:hAnsi="Cambria" w:cs="Times New Roman"/>
          <w:i/>
          <w:color w:val="FF0000"/>
          <w:sz w:val="24"/>
          <w:szCs w:val="24"/>
        </w:rPr>
        <w:t xml:space="preserve"> на рынке жилья можно столкнуться с мошенниками! Не пользуйтесь услугами фирм, которые оказывают «информационные услуги» и предлагают очень дешевые услуги. Такие фирмы пользуются тем, что мигранты плохо знают русский язык и не разбираются в ценах на жилье.</w:t>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b/>
          <w:sz w:val="24"/>
          <w:szCs w:val="24"/>
        </w:rPr>
        <w:t xml:space="preserve">Сделка об аренде сопровождается заключением договора аренды.</w:t>
      </w:r>
      <w:r>
        <w:rPr>
          <w:rFonts w:ascii="Cambria" w:hAnsi="Cambria" w:cs="Times New Roman"/>
          <w:sz w:val="24"/>
          <w:szCs w:val="24"/>
        </w:rPr>
        <w:t xml:space="preserve"> В договоре обязательно указываются: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фамилия, имя, отчество хозяина квартиры, его паспортные данные и контактный номер;</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фамилия, имя, отчество нанимателя, его паспортные данные и контактный номер;</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название, номер и дата выдачи документа, подтверждающего право собственности на помещение;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точный адрес жилого помещения, его площадь;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срок найма жилья;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точный размер арендной платы;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количество съемщиков, их имена и фамилии;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сроки внесения оплаты за проживание за каждый последующий месяц;</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сроки внесения коммунальных платежей;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опись всего имущества, находящегося в помещении, его состояние;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сумма залогового платежа и условия его возврата. Залог – сумма обозначающая стоимость компенсации в случае порчи Вами имущества, невнесения арендой платы, досрочного отказа от аренды, неуплаты коммунальных платежей;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форма расписки за внесение арендой платы;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права нанимателя и условия прекращения аренды жилья;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права нанимателя и условия прекращения аренды жилья. О намерении съехать или прекратить аренду нужно предупреждать за 1-2 недели. Договор аренды заполняется в 2-х экземплярах, один из них остается у Вас.</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Вы не имеете права сдавать съемное жилье своим товарищам, все изменения в жилом помещении должны согласовываться с собственником.</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Для прохождения проверки документов необходимо всегда при себе носить: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миграционную карту;</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на миграционный учет (регистрацию);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разрешение на работу или патент на работу с чеками об оплате.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Эти документы имеют право проверять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сотрудники полиции и Управления по вопросам миграции Министерства внутренних дел Российской Федерации, находящиеся при исполнении ими служебных обязанностей.</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ПРАВА ДЕТЕЙ ИНОСТРАННЫХ ГРАЖДАН НА ТЕРРИТОРИИ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Н</w:t>
      </w:r>
      <w:r>
        <w:rPr>
          <w:rFonts w:ascii="Cambria" w:hAnsi="Cambria" w:cs="Times New Roman"/>
          <w:sz w:val="24"/>
          <w:szCs w:val="24"/>
        </w:rPr>
        <w:t xml:space="preserve">есовершеннолетние дети иностранных граждан, как и граждан Российской Федерации имеют право бесплатно посещать детские сады и обучаться школе. Дети должны находиться в Российской Федерации на законных основаниях, т.е. иметь миграционную карту и регистрацию.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Для устройства ребенка в детский сад нужно представить: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свидетельство о рождении и его копию;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нотариально заверенный перевод свидетельства о рождении на русский язык;</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миграционную карту ребенка, ее копию;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ребенка на миграционный учет по месту пребывания его родителей;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медицинский полис ребенка;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сертификат о прививках;</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медицинское заключение о прохождении ребенком медосмотра и отсутствии у него опасных заболеваний;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 родителя, нотариально заверенный перевод паспорта, копию паспорта;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миграционную карту родителя, копию миграционной карты;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родителя на миграционный учет по месту пребывания.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b/>
          <w:sz w:val="24"/>
          <w:szCs w:val="24"/>
        </w:rPr>
      </w:pPr>
      <w:r>
        <w:rPr>
          <w:rFonts w:ascii="Cambria" w:hAnsi="Cambria" w:cs="Times New Roman"/>
          <w:b/>
          <w:sz w:val="24"/>
          <w:szCs w:val="24"/>
        </w:rPr>
        <w:t xml:space="preserve">Для устройства ребенка в школу необходимо предоставить:</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свидетельство о рождении и его копию;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нотариально заверенный перевод свидетельства о рождении на русский язык;</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миграционную карту ребенка, ее копию;</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ребенка на миграционный учет по месту пребывания его родителей;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медицинский полис ребенка;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сертификат о прививках;</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медицинское заключение о прохождении ребенком медосмотра и отсутствии у него опасных заболеваний;</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паспорт родителя, нотариально заверенный перевод паспорта, копию паспорта;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миграционную карту родителя, копию миграционной карты;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уведомление о постановке родителя на миграционный учет по месту пребывания;</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медицинскую карту ребенка;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 личное дело учащегося, если ребенок обучался ранее в российской школе.</w:t>
      </w:r>
      <w:r/>
    </w:p>
    <w:p>
      <w:pPr>
        <w:jc w:val="both"/>
        <w:spacing w:lineRule="auto" w:line="240" w:after="0"/>
        <w:rPr>
          <w:rFonts w:ascii="Cambria" w:hAnsi="Cambria" w:cs="Times New Roman"/>
          <w:sz w:val="24"/>
          <w:szCs w:val="24"/>
        </w:rPr>
      </w:pPr>
      <w:r>
        <w:rPr>
          <w:rFonts w:ascii="Cambria" w:hAnsi="Cambria" w:cs="Times New Roman"/>
          <w:sz w:val="24"/>
          <w:szCs w:val="24"/>
        </w:rPr>
      </w:r>
      <w:r/>
    </w:p>
    <w:p>
      <w:pPr>
        <w:jc w:val="both"/>
        <w:spacing w:lineRule="auto" w:line="240" w:after="0"/>
        <w:rPr>
          <w:rFonts w:ascii="Cambria" w:hAnsi="Cambria" w:cs="Times New Roman"/>
          <w:sz w:val="24"/>
          <w:szCs w:val="24"/>
        </w:rPr>
      </w:pPr>
      <w:r>
        <w:rPr>
          <w:rFonts w:ascii="Cambria" w:hAnsi="Cambria" w:cs="Times New Roman"/>
          <w:sz w:val="24"/>
          <w:szCs w:val="24"/>
        </w:rPr>
      </w:r>
      <w:r/>
    </w:p>
    <w:p>
      <w:pPr>
        <w:rPr>
          <w:rFonts w:ascii="Cambria" w:hAnsi="Cambria" w:cs="Times New Roman"/>
          <w:b/>
          <w:sz w:val="24"/>
          <w:szCs w:val="24"/>
        </w:rPr>
      </w:pPr>
      <w:r>
        <w:rPr>
          <w:rFonts w:ascii="Cambria" w:hAnsi="Cambria" w:cs="Times New Roman"/>
          <w:b/>
          <w:sz w:val="24"/>
          <w:szCs w:val="24"/>
        </w:rPr>
        <w:br w:type="page"/>
      </w:r>
      <w:r/>
    </w:p>
    <w:p>
      <w:pPr>
        <w:jc w:val="center"/>
        <w:spacing w:lineRule="auto" w:line="240" w:after="0"/>
        <w:rPr>
          <w:rFonts w:ascii="Cambria" w:hAnsi="Cambria" w:cs="Times New Roman"/>
          <w:b/>
          <w:sz w:val="24"/>
          <w:szCs w:val="24"/>
        </w:rPr>
      </w:pPr>
      <w:r>
        <w:rPr>
          <w:rFonts w:ascii="Cambria" w:hAnsi="Cambria" w:cs="Times New Roman"/>
          <w:b/>
          <w:sz w:val="24"/>
          <w:szCs w:val="24"/>
        </w:rPr>
        <w:t xml:space="preserve">КУЛЬТУРА И ОБЫЧАИ В РОССИИ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Алтайском крае, как и во всей России отмечают общероссийские праздники – государственные, религиозные и народные. Многие из этих праздников – нерабочие дни.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tbl>
      <w:tblPr>
        <w:tblStyle w:val="571"/>
        <w:tblW w:w="0" w:type="auto"/>
        <w:tblBorders>
          <w:insideV w:val="none" w:sz="0" w:space="0" w:color="auto"/>
          <w:insideH w:val="none" w:sz="0" w:space="0" w:color="auto"/>
        </w:tblBorders>
        <w:tblLook w:val="04A0" w:firstRow="1" w:lastRow="0" w:firstColumn="1" w:lastColumn="0" w:noHBand="0" w:noVBand="1"/>
      </w:tblPr>
      <w:tblGrid>
        <w:gridCol w:w="2689"/>
        <w:gridCol w:w="6939"/>
      </w:tblGrid>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rPr>
                <w:rFonts w:ascii="Cambria" w:hAnsi="Cambria" w:cs="Times New Roman"/>
                <w:sz w:val="24"/>
                <w:szCs w:val="24"/>
              </w:rPr>
            </w:pPr>
            <w:r>
              <w:rPr>
                <w:rFonts w:ascii="Cambria" w:hAnsi="Cambria" w:cs="Times New Roman"/>
                <w:b/>
                <w:sz w:val="24"/>
                <w:szCs w:val="24"/>
              </w:rPr>
              <w:t xml:space="preserve">1,2,3,4,5,6,8</w:t>
            </w:r>
            <w:r>
              <w:rPr>
                <w:rFonts w:ascii="Cambria" w:hAnsi="Cambria" w:cs="Times New Roman"/>
                <w:sz w:val="24"/>
                <w:szCs w:val="24"/>
              </w:rPr>
              <w:t xml:space="preserve"> января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b/>
                <w:sz w:val="24"/>
                <w:szCs w:val="24"/>
              </w:rPr>
            </w:pPr>
            <w:r>
              <w:rPr>
                <w:rFonts w:ascii="Cambria" w:hAnsi="Cambria" w:cs="Times New Roman"/>
                <w:b/>
                <w:sz w:val="24"/>
                <w:szCs w:val="24"/>
              </w:rPr>
              <w:t xml:space="preserve">Новогодние каникулы</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rPr>
                <w:rFonts w:ascii="Cambria" w:hAnsi="Cambria" w:cs="Times New Roman"/>
                <w:sz w:val="24"/>
                <w:szCs w:val="24"/>
              </w:rPr>
            </w:pPr>
            <w:r>
              <w:rPr>
                <w:rFonts w:ascii="Cambria" w:hAnsi="Cambria" w:cs="Times New Roman"/>
                <w:b/>
                <w:sz w:val="24"/>
                <w:szCs w:val="24"/>
              </w:rPr>
              <w:t xml:space="preserve">7</w:t>
            </w:r>
            <w:r>
              <w:rPr>
                <w:rFonts w:ascii="Cambria" w:hAnsi="Cambria" w:cs="Times New Roman"/>
                <w:sz w:val="24"/>
                <w:szCs w:val="24"/>
              </w:rPr>
              <w:t xml:space="preserve"> января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b/>
                <w:sz w:val="24"/>
                <w:szCs w:val="24"/>
              </w:rPr>
            </w:pPr>
            <w:r>
              <w:rPr>
                <w:rFonts w:ascii="Cambria" w:hAnsi="Cambria" w:cs="Times New Roman"/>
                <w:b/>
                <w:sz w:val="24"/>
                <w:szCs w:val="24"/>
              </w:rPr>
              <w:t xml:space="preserve">Рождество Христово</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23 февраля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защитника Отечества</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8 марта</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Международный женский день</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1 мая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Праздник весны и труда</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9 мая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Победы</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12 июня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России</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22 августа</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флага России</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04 ноября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народного единства</w:t>
            </w:r>
            <w:r/>
          </w:p>
        </w:tc>
      </w:tr>
      <w:tr>
        <w:trPr/>
        <w:tc>
          <w:tcPr>
            <w:tcBorders>
              <w:left w:val="single" w:color="000000" w:sz="4" w:space="0"/>
              <w:top w:val="single" w:color="000000" w:sz="4" w:space="0"/>
              <w:right w:val="single" w:color="000000" w:sz="4" w:space="0"/>
              <w:bottom w:val="single" w:color="000000" w:sz="4" w:space="0"/>
            </w:tcBorders>
            <w:tcW w:w="2689" w:type="dxa"/>
            <w:textDirection w:val="lrTb"/>
            <w:noWrap/>
          </w:tcPr>
          <w:p>
            <w:pPr>
              <w:jc w:val="both"/>
              <w:rPr>
                <w:rFonts w:ascii="Cambria" w:hAnsi="Cambria" w:cs="Times New Roman"/>
                <w:b/>
                <w:sz w:val="24"/>
                <w:szCs w:val="24"/>
              </w:rPr>
            </w:pPr>
            <w:r>
              <w:rPr>
                <w:rFonts w:ascii="Cambria" w:hAnsi="Cambria" w:cs="Times New Roman"/>
                <w:b/>
                <w:sz w:val="24"/>
                <w:szCs w:val="24"/>
              </w:rPr>
              <w:t xml:space="preserve">12 декабря</w:t>
            </w:r>
            <w:r/>
          </w:p>
        </w:tc>
        <w:tc>
          <w:tcPr>
            <w:tcBorders>
              <w:left w:val="single" w:color="000000" w:sz="4" w:space="0"/>
              <w:top w:val="single" w:color="000000" w:sz="4" w:space="0"/>
              <w:right w:val="single" w:color="000000" w:sz="4" w:space="0"/>
              <w:bottom w:val="single" w:color="000000" w:sz="4" w:space="0"/>
            </w:tcBorders>
            <w:tcW w:w="6939" w:type="dxa"/>
            <w:textDirection w:val="lrTb"/>
            <w:noWrap/>
          </w:tcPr>
          <w:p>
            <w:pPr>
              <w:jc w:val="center"/>
              <w:rPr>
                <w:rFonts w:ascii="Cambria" w:hAnsi="Cambria" w:cs="Times New Roman"/>
                <w:sz w:val="24"/>
                <w:szCs w:val="24"/>
              </w:rPr>
            </w:pPr>
            <w:r>
              <w:rPr>
                <w:rFonts w:ascii="Cambria" w:hAnsi="Cambria" w:cs="Times New Roman"/>
                <w:sz w:val="24"/>
                <w:szCs w:val="24"/>
              </w:rPr>
              <w:t xml:space="preserve">День Конституции России</w:t>
            </w:r>
            <w:r/>
          </w:p>
        </w:tc>
      </w:tr>
    </w:tbl>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center"/>
        <w:spacing w:lineRule="auto" w:line="240" w:after="0"/>
        <w:rPr>
          <w:rFonts w:ascii="Cambria" w:hAnsi="Cambria" w:cs="Times New Roman"/>
          <w:b/>
          <w:sz w:val="24"/>
          <w:szCs w:val="24"/>
        </w:rPr>
      </w:pPr>
      <w:r>
        <w:rPr>
          <w:rFonts w:ascii="Cambria" w:hAnsi="Cambria" w:cs="Times New Roman"/>
          <w:b/>
          <w:sz w:val="24"/>
          <w:szCs w:val="24"/>
        </w:rPr>
        <w:t xml:space="preserve">КУЛЬТУРА В АЛТАЙСКОМ КРАЕ</w:t>
      </w:r>
      <w:r/>
    </w:p>
    <w:p>
      <w:pPr>
        <w:ind w:firstLine="709"/>
        <w:jc w:val="both"/>
        <w:spacing w:lineRule="auto" w:line="240" w:after="0"/>
        <w:rPr>
          <w:rFonts w:ascii="Cambria" w:hAnsi="Cambria" w:cs="Times New Roman"/>
          <w:b/>
          <w:sz w:val="24"/>
          <w:szCs w:val="24"/>
        </w:rPr>
      </w:pPr>
      <w:r>
        <w:rPr>
          <w:rFonts w:ascii="Cambria" w:hAnsi="Cambria" w:cs="Times New Roman"/>
          <w:sz w:val="24"/>
          <w:szCs w:val="24"/>
          <w:lang w:eastAsia="ru-RU"/>
        </w:rPr>
      </w:r>
      <w:r>
        <w:rPr>
          <w:rFonts w:ascii="Cambria" w:hAnsi="Cambria" w:cs="Times New Roman"/>
          <w:sz w:val="24"/>
          <w:szCs w:val="24"/>
          <w:lang w:eastAsia="ru-RU"/>
        </w:rPr>
      </w:r>
      <w:r/>
    </w:p>
    <w:tbl>
      <w:tblPr>
        <w:tblStyle w:val="571"/>
        <w:tblW w:w="0" w:type="auto"/>
        <w:tblLayout w:type="fixed"/>
        <w:tblLook w:val="04A0" w:firstRow="1" w:lastRow="0" w:firstColumn="1" w:lastColumn="0" w:noHBand="0" w:noVBand="1"/>
      </w:tblPr>
      <w:tblGrid>
        <w:gridCol w:w="3793"/>
        <w:gridCol w:w="6061"/>
      </w:tblGrid>
      <w:tr>
        <w:trPr/>
        <w:tc>
          <w:tcPr>
            <w:tcBorders>
              <w:left w:val="none" w:color="000000" w:sz="4" w:space="0"/>
              <w:top w:val="none" w:color="000000" w:sz="4" w:space="0"/>
              <w:right w:val="none" w:color="000000" w:sz="4" w:space="0"/>
              <w:bottom w:val="none" w:color="000000" w:sz="4" w:space="0"/>
            </w:tcBorders>
            <w:tcW w:w="3793"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rPr>
            </w:r>
            <w: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column">
                        <wp:posOffset>2394585</wp:posOffset>
                      </wp:positionH>
                      <wp:positionV relativeFrom="paragraph">
                        <wp:posOffset>16931</wp:posOffset>
                      </wp:positionV>
                      <wp:extent cx="3816350" cy="2089150"/>
                      <wp:effectExtent l="0" t="0" r="0" b="0"/>
                      <wp:wrapNone/>
                      <wp:docPr id="16" name="" hidden="false"/>
                      <wp:cNvGraphicFramePr/>
                      <a:graphic xmlns:a="http://schemas.openxmlformats.org/drawingml/2006/main">
                        <a:graphicData uri="http://schemas.openxmlformats.org/drawingml/2006/picture">
                          <pic:pic xmlns:pic="http://schemas.openxmlformats.org/drawingml/2006/picture">
                            <pic:nvPicPr>
                              <pic:cNvPr id="17" name="" hidden="0"/>
                              <pic:cNvPicPr/>
                            </pic:nvPicPr>
                            <pic:blipFill>
                              <a:blip r:embed="rId24"/>
                              <a:stretch/>
                            </pic:blipFill>
                            <pic:spPr bwMode="auto">
                              <a:xfrm>
                                <a:off x="0" y="0"/>
                                <a:ext cx="3816349" cy="2089149"/>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position:absolute;mso-wrap-distance-left:9.0pt;mso-wrap-distance-top:0.0pt;mso-wrap-distance-right:9.0pt;mso-wrap-distance-bottom:0.0pt;z-index:251660288;o:allowoverlap:true;o:allowincell:true;mso-position-horizontal-relative:text;margin-left:188.5pt;mso-position-horizontal:absolute;mso-position-vertical-relative:text;margin-top:1.3pt;mso-position-vertical:absolute;width:300.5pt;height:164.5pt;">
                      <v:path textboxrect="0,0,0,0"/>
                      <v:imagedata r:id="rId24" o:title=""/>
                    </v:shape>
                  </w:pict>
                </mc:Fallback>
              </mc:AlternateContent>
            </w:r>
            <w:r>
              <w:rPr>
                <w:rFonts w:ascii="Cambria" w:hAnsi="Cambria" w:cs="Times New Roman"/>
                <w:sz w:val="24"/>
                <w:szCs w:val="24"/>
              </w:rPr>
              <w:t xml:space="preserve">Алтайский край – регион с богатым историко-культурным и природным наследием. Это родина многих выдающихся личностей: Василия Шукшина, Михаила Калашникова, Германа Титова, Ивана Пырьева, Роберта Рождественского, Валерия Золотухина и многих других.</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В настоящее время в Алтайском крае сосредоточена многопрофильная сеть </w:t>
            </w:r>
            <w:r/>
          </w:p>
        </w:tc>
        <w:tc>
          <w:tcPr>
            <w:tcBorders>
              <w:left w:val="none" w:color="000000" w:sz="4" w:space="0"/>
              <w:top w:val="none" w:color="000000" w:sz="4" w:space="0"/>
              <w:right w:val="none" w:color="000000" w:sz="4" w:space="0"/>
              <w:bottom w:val="none" w:color="000000" w:sz="4" w:space="0"/>
            </w:tcBorders>
            <w:tcW w:w="6061" w:type="dxa"/>
            <w:textDirection w:val="lrTb"/>
            <w:noWrap w:val="false"/>
          </w:tcPr>
          <w:p>
            <w:pPr>
              <w:rPr>
                <w:rFonts w:ascii="Cambria" w:hAnsi="Cambria" w:cs="Times New Roman"/>
                <w:sz w:val="24"/>
                <w:szCs w:val="24"/>
              </w:rPr>
            </w:pPr>
            <w:r>
              <w:rPr>
                <w:rFonts w:ascii="Cambria" w:hAnsi="Cambria" w:cs="Times New Roman"/>
                <w:sz w:val="24"/>
              </w:rPr>
            </w:r>
            <w:r>
              <w:rPr>
                <w:rFonts w:ascii="Cambria" w:hAnsi="Cambria" w:cs="Times New Roman"/>
                <w:sz w:val="24"/>
              </w:rPr>
            </w:r>
            <w:r/>
          </w:p>
        </w:tc>
      </w:tr>
    </w:tbl>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t xml:space="preserve">учреждений культуры, в том числе: 1 тыс. 051 учреждение клубного типа, 969 общедоступных библиотек, 73 музея, 7 театров, 6 ко</w:t>
      </w:r>
      <w:r>
        <w:rPr>
          <w:rFonts w:ascii="Cambria" w:hAnsi="Cambria" w:cs="Times New Roman"/>
          <w:sz w:val="24"/>
          <w:szCs w:val="24"/>
        </w:rPr>
        <w:t xml:space="preserve">нцертных организаций, 3 профессиональных образовательных организации с двумя филиалами, 89 детских школ искусств, 5 парков культуры и отдыха, Алтайский краевой учебно-методический центр по художественному образованию, Государственный архив Алтайского края.</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Сеть краевых государственных учреждений в сфере культуры, искусства, среднего профессионального образования, а также архивного дела насчитывает 21 учреждение с 6 филиалами, в том числе одно учреждение по работе с социал</w:t>
      </w:r>
      <w:r>
        <w:rPr>
          <w:rFonts w:ascii="Cambria" w:hAnsi="Cambria" w:cs="Times New Roman"/>
          <w:sz w:val="24"/>
          <w:szCs w:val="24"/>
        </w:rPr>
        <w:t xml:space="preserve">ьно незащищенными слоями населения – КГКУ «Алтайская краевая специальная библиотека для незрячих и слабовидящих». Также в крае успешно работает федеральное высшее учебное заведение в сфере культуры и искусства – Алтайский государственный институт культуры.</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Подробно об учреждениях культуры можно узнать на сайте Министерства культуры Алтайского края:</w:t>
      </w:r>
      <w:hyperlink r:id="rId25" w:history="1">
        <w:r>
          <w:rPr>
            <w:rStyle w:val="572"/>
            <w:rFonts w:ascii="Cambria" w:hAnsi="Cambria" w:cs="Times New Roman"/>
            <w:sz w:val="24"/>
            <w:szCs w:val="24"/>
          </w:rPr>
          <w:t xml:space="preserve">https://culture.alregn.ru/</w:t>
        </w:r>
      </w:hyperlink>
      <w:r>
        <w:rPr>
          <w:rFonts w:ascii="Cambria" w:hAnsi="Cambria" w:cs="Times New Roman"/>
          <w:sz w:val="24"/>
          <w:szCs w:val="24"/>
        </w:rPr>
        <w:t xml:space="preserve">.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spacing w:lineRule="auto" w:line="240" w:after="0"/>
        <w:rPr>
          <w:rFonts w:ascii="Cambria" w:hAnsi="Cambria" w:cs="Times New Roman"/>
          <w:b/>
          <w:sz w:val="24"/>
          <w:szCs w:val="24"/>
        </w:rPr>
      </w:pPr>
      <w:r>
        <w:rPr>
          <w:rFonts w:ascii="Cambria" w:hAnsi="Cambria" w:cs="Times New Roman"/>
          <w:b/>
          <w:sz w:val="24"/>
          <w:szCs w:val="24"/>
        </w:rPr>
        <w:tab/>
      </w:r>
      <w:r/>
    </w:p>
    <w:p>
      <w:pPr>
        <w:jc w:val="center"/>
        <w:rPr>
          <w:rFonts w:ascii="Cambria" w:hAnsi="Cambria" w:cs="Times New Roman"/>
          <w:b/>
          <w:sz w:val="24"/>
          <w:szCs w:val="24"/>
        </w:rPr>
      </w:pPr>
      <w:r>
        <w:rPr>
          <w:rFonts w:ascii="Cambria" w:hAnsi="Cambria" w:cs="Times New Roman"/>
          <w:b/>
          <w:sz w:val="24"/>
          <w:szCs w:val="24"/>
        </w:rPr>
        <w:br w:type="page"/>
      </w:r>
      <w:r>
        <w:rPr>
          <w:rFonts w:ascii="Cambria" w:hAnsi="Cambria" w:cs="Times New Roman"/>
          <w:b/>
          <w:sz w:val="24"/>
          <w:szCs w:val="24"/>
        </w:rPr>
        <w:t xml:space="preserve">ОБРАЗОВАНИЕ В АЛТАЙСКОМ КРАЕ</w:t>
      </w:r>
      <w:r/>
    </w:p>
    <w:tbl>
      <w:tblPr>
        <w:tblStyle w:val="571"/>
        <w:tblW w:w="0" w:type="auto"/>
        <w:tblLayout w:type="fixed"/>
        <w:tblLook w:val="04A0" w:firstRow="1" w:lastRow="0" w:firstColumn="1" w:lastColumn="0" w:noHBand="0" w:noVBand="1"/>
      </w:tblPr>
      <w:tblGrid>
        <w:gridCol w:w="5635"/>
        <w:gridCol w:w="4218"/>
      </w:tblGrid>
      <w:tr>
        <w:trPr/>
        <w:tc>
          <w:tcPr>
            <w:tcBorders>
              <w:left w:val="none" w:color="000000" w:sz="4" w:space="0"/>
              <w:top w:val="none" w:color="000000" w:sz="4" w:space="0"/>
              <w:right w:val="none" w:color="000000" w:sz="4" w:space="0"/>
              <w:bottom w:val="none" w:color="000000" w:sz="4" w:space="0"/>
            </w:tcBorders>
            <w:tcW w:w="5635" w:type="dxa"/>
            <w:textDirection w:val="lrTb"/>
            <w:noWrap w:val="false"/>
          </w:tcPr>
          <w:p>
            <w:pPr>
              <w:ind w:firstLine="709"/>
              <w:jc w:val="both"/>
              <w:spacing w:lineRule="auto" w:line="240" w:after="0"/>
              <w:rPr>
                <w:rFonts w:ascii="Cambria" w:hAnsi="Cambria" w:cs="Times New Roman"/>
                <w:sz w:val="24"/>
                <w:szCs w:val="24"/>
              </w:rPr>
            </w:pPr>
            <w:r>
              <w:rPr>
                <w:rFonts w:ascii="Cambria" w:hAnsi="Cambria" w:cs="Times New Roman"/>
                <w:sz w:val="24"/>
              </w:rPr>
            </w:r>
            <w:r>
              <w:rPr>
                <w:rFonts w:ascii="Cambria" w:hAnsi="Cambria" w:cs="Times New Roman"/>
                <w:sz w:val="24"/>
                <w:szCs w:val="24"/>
              </w:rPr>
              <w:t xml:space="preserve">В Алтайском крае в настоящее время осуществляют свою деятельность:</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348 дошкольных организаций (юридических лиц), 183 филиала, 361 структурное подразделение;</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682 общеобразовательные организации – юридические лица, 412 филиалов;</w:t>
            </w:r>
            <w:r>
              <w:rPr>
                <w:rFonts w:ascii="Cambria" w:hAnsi="Cambria" w:cs="Times New Roman"/>
                <w:sz w:val="24"/>
                <w:szCs w:val="24"/>
              </w:rPr>
            </w:r>
            <w:r/>
          </w:p>
          <w:p>
            <w:pPr>
              <w:ind w:firstLine="709"/>
              <w:jc w:val="both"/>
              <w:spacing w:lineRule="auto" w:line="240" w:after="0"/>
              <w:rPr>
                <w:rFonts w:ascii="Cambria" w:hAnsi="Cambria" w:cs="Times New Roman"/>
              </w:rPr>
            </w:pPr>
            <w:r>
              <w:rPr>
                <w:rFonts w:ascii="Cambria" w:hAnsi="Cambria" w:cs="Times New Roman"/>
                <w:sz w:val="24"/>
                <w:szCs w:val="24"/>
              </w:rPr>
              <w:t xml:space="preserve">213 организаций дополнительного образования;</w:t>
            </w:r>
            <w:r>
              <w:rPr>
                <w:rFonts w:ascii="Cambria" w:hAnsi="Cambria" w:cs="Times New Roman"/>
                <w:sz w:val="24"/>
                <w:szCs w:val="24"/>
              </w:rPr>
            </w:r>
            <w:r/>
          </w:p>
          <w:p>
            <w:pPr>
              <w:ind w:firstLine="709"/>
              <w:jc w:val="both"/>
              <w:spacing w:lineRule="auto" w:line="240" w:after="0"/>
              <w:rPr>
                <w:rFonts w:ascii="Cambria" w:hAnsi="Cambria" w:cs="Times New Roman"/>
                <w:sz w:val="24"/>
              </w:rPr>
            </w:pPr>
            <w:r>
              <w:rPr>
                <w:rFonts w:ascii="Cambria" w:hAnsi="Cambria" w:cs="Times New Roman"/>
                <w:sz w:val="24"/>
                <w:szCs w:val="24"/>
                <w:lang w:eastAsia="ru-RU"/>
              </w:rPr>
            </w:r>
            <w:r>
              <w:rPr>
                <w:rFonts w:ascii="Cambria" w:hAnsi="Cambria" w:cs="Times New Roman"/>
                <w:sz w:val="24"/>
                <w:szCs w:val="24"/>
              </w:rPr>
              <w:t xml:space="preserve">54 </w:t>
            </w:r>
            <w:r>
              <w:rPr>
                <w:rFonts w:ascii="Cambria" w:hAnsi="Cambria" w:cs="Times New Roman"/>
                <w:sz w:val="24"/>
                <w:szCs w:val="24"/>
              </w:rPr>
              <w:t xml:space="preserve">учреждения профессионального образования (39 подведомственных Министерства  образования  и  науки  Алтайского </w:t>
            </w:r>
            <w:r>
              <w:rPr>
                <w:rFonts w:ascii="Cambria" w:hAnsi="Cambria" w:cs="Times New Roman"/>
                <w:sz w:val="24"/>
                <w:szCs w:val="24"/>
              </w:rPr>
            </w:r>
            <w:r/>
          </w:p>
        </w:tc>
        <w:tc>
          <w:tcPr>
            <w:tcBorders>
              <w:left w:val="none" w:color="000000" w:sz="4" w:space="0"/>
              <w:top w:val="none" w:color="000000" w:sz="4" w:space="0"/>
              <w:right w:val="none" w:color="000000" w:sz="4" w:space="0"/>
              <w:bottom w:val="none" w:color="000000" w:sz="4" w:space="0"/>
            </w:tcBorders>
            <w:tcW w:w="4218" w:type="dxa"/>
            <w:textDirection w:val="lrTb"/>
            <w:noWrap w:val="false"/>
          </w:tcPr>
          <w:p>
            <w:pPr>
              <w:rPr>
                <w:rFonts w:ascii="Cambria" w:hAnsi="Cambria" w:cs="Times New Roman"/>
                <w:sz w:val="24"/>
                <w:szCs w:val="24"/>
              </w:rPr>
            </w:pPr>
            <w:r>
              <w:rPr>
                <w:rFonts w:ascii="Cambria" w:hAnsi="Cambria" w:cs="Times New Roman"/>
                <w:sz w:val="24"/>
              </w:rPr>
            </w:r>
            <w:r>
              <mc:AlternateContent>
                <mc:Choice Requires="wpg">
                  <w:drawing>
                    <wp:anchor xmlns:wp="http://schemas.openxmlformats.org/drawingml/2006/wordprocessingDrawing" distT="0" distB="0" distL="114300" distR="114300" simplePos="0" relativeHeight="251661312" behindDoc="0" locked="0" layoutInCell="1" allowOverlap="1">
                      <wp:simplePos x="0" y="0"/>
                      <wp:positionH relativeFrom="margin">
                        <wp:posOffset>3576660</wp:posOffset>
                      </wp:positionH>
                      <wp:positionV relativeFrom="paragraph">
                        <wp:posOffset>17018</wp:posOffset>
                      </wp:positionV>
                      <wp:extent cx="2600620" cy="1983626"/>
                      <wp:effectExtent l="6350" t="6350" r="6350" b="6350"/>
                      <wp:wrapNone/>
                      <wp:docPr id="17" name="" hidden="false"/>
                      <wp:cNvGraphicFramePr/>
                      <a:graphic xmlns:a="http://schemas.openxmlformats.org/drawingml/2006/main">
                        <a:graphicData uri="http://schemas.openxmlformats.org/drawingml/2006/picture">
                          <pic:pic xmlns:pic="http://schemas.openxmlformats.org/drawingml/2006/picture">
                            <pic:nvPicPr>
                              <pic:cNvPr id="18" name="" hidden="0"/>
                              <pic:cNvPicPr/>
                            </pic:nvPicPr>
                            <pic:blipFill>
                              <a:blip r:embed="rId26"/>
                              <a:stretch/>
                            </pic:blipFill>
                            <pic:spPr bwMode="auto">
                              <a:xfrm flipH="0" flipV="0">
                                <a:off x="0" y="0"/>
                                <a:ext cx="2600619" cy="1983626"/>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661312;o:allowoverlap:true;o:allowincell:true;mso-position-horizontal-relative:margin;margin-left:281.6pt;mso-position-horizontal:absolute;mso-position-vertical-relative:text;margin-top:1.3pt;mso-position-vertical:absolute;width:204.8pt;height:156.2pt;">
                      <v:path textboxrect="0,0,0,0"/>
                      <v:imagedata r:id="rId26" o:title=""/>
                    </v:shape>
                  </w:pict>
                </mc:Fallback>
              </mc:AlternateContent>
            </w:r>
            <w:r>
              <w:rPr>
                <w:rFonts w:ascii="Cambria" w:hAnsi="Cambria" w:cs="Times New Roman"/>
                <w:sz w:val="24"/>
              </w:rPr>
            </w:r>
            <w:r/>
          </w:p>
        </w:tc>
      </w:tr>
    </w:tbl>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t xml:space="preserve">края, 6 – Министерства здравоохранения Алтайского края, 3 – Министерства культуры Алтайского края, 1 – Министерства спорта Алтайского края, 5 частных)</w:t>
      </w:r>
      <w:r/>
    </w:p>
    <w:p>
      <w:pPr>
        <w:ind w:firstLine="709"/>
        <w:jc w:val="both"/>
        <w:spacing w:lineRule="auto" w:line="240" w:after="0"/>
        <w:rPr>
          <w:rFonts w:ascii="Cambria" w:hAnsi="Cambria" w:cs="Times New Roman"/>
        </w:rPr>
      </w:pPr>
      <w:r>
        <w:rPr>
          <w:rFonts w:ascii="Cambria" w:hAnsi="Cambria" w:cs="Times New Roman"/>
          <w:sz w:val="24"/>
          <w:szCs w:val="24"/>
        </w:rPr>
        <w:t xml:space="preserve">29 иных организаций, в том числе 22 краевых центра помощи детям, оставшимся без попечения родителей, 3 ППМС центра и 4 организации дополнительного профессионального образования).</w:t>
      </w: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На базе профессиональных образовательных учреждений Алтайског</w:t>
      </w:r>
      <w:r>
        <w:rPr>
          <w:rFonts w:ascii="Cambria" w:hAnsi="Cambria" w:cs="Times New Roman"/>
          <w:sz w:val="24"/>
          <w:szCs w:val="24"/>
        </w:rPr>
        <w:t xml:space="preserve">о края осуществляют деятельность центр опережающей профессиональной подготовки и 5 многофункциональных центров прикладных квалификаций по направлениям: строительство; обработка металлов; сервис, услуги и общественное питание; транспорт; сельское хозяйство.</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В Алтайском крае действует 8 государственных вузов, 1 негосударственный вуз и 13 филиалов вузов. </w:t>
      </w:r>
      <w:r/>
    </w:p>
    <w:p>
      <w:pPr>
        <w:ind w:firstLine="709"/>
        <w:jc w:val="both"/>
        <w:spacing w:lineRule="auto" w:line="240" w:after="0"/>
        <w:rPr>
          <w:szCs w:val="24"/>
        </w:rPr>
      </w:pPr>
      <w:r>
        <w:rPr>
          <w:rFonts w:ascii="Cambria" w:hAnsi="Cambria" w:cs="Times New Roman"/>
          <w:sz w:val="24"/>
          <w:szCs w:val="24"/>
        </w:rPr>
        <w:t xml:space="preserve">Подробно об учреждениях образования можно узнать на сайте Министерства образования и науки Алтайского края: </w:t>
      </w:r>
      <w:hyperlink r:id="rId27" w:history="1">
        <w:r>
          <w:rPr>
            <w:rStyle w:val="572"/>
            <w:rFonts w:ascii="Cambria" w:hAnsi="Cambria" w:cs="Times New Roman"/>
            <w:sz w:val="24"/>
            <w:szCs w:val="24"/>
          </w:rPr>
          <w:t xml:space="preserve">www.educaltai.ru</w:t>
        </w:r>
      </w:hyperlink>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Федеральный закон «О правовом положении иностранных граждан в Российской Федерации» с 14.07.2022 предусматривает установление особого правового режима для и</w:t>
      </w:r>
      <w:r>
        <w:rPr>
          <w:rFonts w:ascii="Cambria" w:hAnsi="Cambria" w:cs="Times New Roman"/>
          <w:sz w:val="24"/>
          <w:szCs w:val="24"/>
        </w:rPr>
        <w:t xml:space="preserve">ностранных граждан и лиц без гражданства, проходящих обучение по очной форме в государственных образовательных организациях высшего образования или государственных научных организациях Российской Федерации, расположенных на территории Российской Федерации.</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Федеральным законом предусматривается возможность получения иностранными граждана</w:t>
      </w:r>
      <w:r>
        <w:rPr>
          <w:rFonts w:ascii="Cambria" w:hAnsi="Cambria" w:cs="Times New Roman"/>
          <w:sz w:val="24"/>
          <w:szCs w:val="24"/>
        </w:rPr>
        <w:t xml:space="preserve">ми и лицами без гражданства, проходящими обучение по очной форме в таких организациях, разрешения на временное проживание в целях получения образования, а также вида на жительство после завершения обучения без оформления разрешения на временное проживание.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rPr>
          <w:rFonts w:ascii="Cambria" w:hAnsi="Cambria" w:cs="Times New Roman"/>
          <w:b/>
          <w:sz w:val="24"/>
          <w:szCs w:val="24"/>
        </w:rPr>
      </w:pPr>
      <w:r>
        <w:rPr>
          <w:rFonts w:ascii="Cambria" w:hAnsi="Cambria" w:cs="Times New Roman"/>
          <w:b/>
          <w:sz w:val="24"/>
          <w:szCs w:val="24"/>
        </w:rPr>
        <w:br w:type="page"/>
      </w:r>
      <w:r/>
    </w:p>
    <w:p>
      <w:pPr>
        <w:ind w:firstLine="709"/>
        <w:jc w:val="center"/>
        <w:spacing w:lineRule="auto" w:line="240" w:after="0"/>
        <w:rPr>
          <w:rFonts w:ascii="Cambria" w:hAnsi="Cambria" w:cs="Times New Roman"/>
          <w:b/>
          <w:sz w:val="24"/>
          <w:szCs w:val="24"/>
        </w:rPr>
      </w:pPr>
      <w:r>
        <w:rPr>
          <w:rFonts w:ascii="Cambria" w:hAnsi="Cambria" w:cs="Times New Roman"/>
          <w:b/>
          <w:sz w:val="24"/>
          <w:szCs w:val="24"/>
        </w:rPr>
        <w:t xml:space="preserve">РЕЛИГИОЗНЫЕ ОРГАНИЗАЦИИ В АЛТАЙСКОМ КРАЕ</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tbl>
      <w:tblPr>
        <w:tblStyle w:val="579"/>
        <w:tblW w:w="9639" w:type="dxa"/>
        <w:tblInd w:w="-5" w:type="dxa"/>
        <w:tblLayout w:type="fixed"/>
        <w:tblLook w:val="04A0" w:firstRow="1" w:lastRow="0" w:firstColumn="1" w:lastColumn="0" w:noHBand="0" w:noVBand="1"/>
      </w:tblPr>
      <w:tblGrid>
        <w:gridCol w:w="567"/>
        <w:gridCol w:w="3261"/>
        <w:gridCol w:w="3402"/>
        <w:gridCol w:w="2409"/>
      </w:tblGrid>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sz w:val="18"/>
                <w:szCs w:val="18"/>
              </w:rPr>
              <w:t xml:space="preserve">БАРНАУЛЬСКАЯ ЕПАРХИЯ </w:t>
            </w:r>
            <w:r/>
          </w:p>
          <w:p>
            <w:pPr>
              <w:rPr>
                <w:rFonts w:ascii="Cambria" w:hAnsi="Cambria" w:cs="Times New Roman"/>
                <w:color w:val="000000"/>
                <w:sz w:val="18"/>
                <w:szCs w:val="18"/>
              </w:rPr>
            </w:pPr>
            <w:r>
              <w:rPr>
                <w:rFonts w:ascii="Cambria" w:hAnsi="Cambria" w:cs="Times New Roman"/>
                <w:color w:val="000000"/>
                <w:sz w:val="18"/>
                <w:szCs w:val="18"/>
              </w:rPr>
              <w:t xml:space="preserve">АЛТАЙСКОЙ МИТРОПОЛИИ РУССКОЙ ПРАВОСЛАВНОЙ ЦЕРКВИ (МОСКОВСКИЙ ПАТРИАРХАТ)</w:t>
            </w:r>
            <w:r/>
          </w:p>
          <w:p>
            <w:pPr>
              <w:rPr>
                <w:rFonts w:ascii="Cambria" w:hAnsi="Cambria" w:cs="Times New Roman"/>
                <w:color w:val="000000"/>
                <w:sz w:val="18"/>
                <w:szCs w:val="18"/>
              </w:rPr>
            </w:pPr>
            <w:r>
              <w:rPr>
                <w:rFonts w:ascii="Cambria" w:hAnsi="Cambria" w:cs="Times New Roman"/>
                <w:color w:val="000000"/>
                <w:sz w:val="18"/>
                <w:szCs w:val="18"/>
              </w:rPr>
            </w:r>
            <w:r/>
          </w:p>
          <w:p>
            <w:pPr>
              <w:rPr>
                <w:rFonts w:ascii="Cambria" w:hAnsi="Cambria" w:cs="Times New Roman"/>
                <w:color w:val="000000"/>
                <w:sz w:val="18"/>
                <w:szCs w:val="18"/>
              </w:rPr>
            </w:pPr>
            <w:r>
              <w:rPr>
                <w:rFonts w:ascii="Cambria" w:hAnsi="Cambria" w:cs="Times New Roman"/>
                <w:color w:val="000000"/>
                <w:sz w:val="18"/>
                <w:szCs w:val="18"/>
              </w:rPr>
            </w:r>
            <w:r/>
          </w:p>
          <w:p>
            <w:pPr>
              <w:rPr>
                <w:rFonts w:ascii="Cambria" w:hAnsi="Cambria" w:cs="Times New Roman"/>
                <w:color w:val="000000"/>
                <w:sz w:val="18"/>
                <w:szCs w:val="18"/>
              </w:rPr>
            </w:pPr>
            <w:r>
              <w:rPr>
                <w:rFonts w:ascii="Cambria" w:hAnsi="Cambria" w:cs="Times New Roman"/>
                <w:color w:val="000000"/>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sz w:val="20"/>
                <w:szCs w:val="20"/>
              </w:rPr>
              <w:t xml:space="preserve">Епархиальное Управление Барнаульской епархии Алтайской </w:t>
            </w:r>
            <w:r/>
          </w:p>
          <w:p>
            <w:pPr>
              <w:rPr>
                <w:rFonts w:ascii="Cambria" w:hAnsi="Cambria" w:cs="Times New Roman"/>
                <w:color w:val="000000"/>
                <w:sz w:val="20"/>
                <w:szCs w:val="20"/>
              </w:rPr>
            </w:pPr>
            <w:r>
              <w:rPr>
                <w:rFonts w:ascii="Cambria" w:hAnsi="Cambria" w:cs="Times New Roman"/>
                <w:color w:val="000000"/>
                <w:sz w:val="20"/>
                <w:szCs w:val="20"/>
              </w:rPr>
              <w:t xml:space="preserve">митрополии </w:t>
            </w:r>
            <w:r/>
          </w:p>
          <w:p>
            <w:pPr>
              <w:rPr>
                <w:rFonts w:ascii="Cambria" w:hAnsi="Cambria" w:cs="Times New Roman"/>
                <w:color w:val="000000"/>
                <w:sz w:val="20"/>
                <w:szCs w:val="20"/>
              </w:rPr>
            </w:pPr>
            <w:r>
              <w:rPr>
                <w:rFonts w:ascii="Cambria" w:hAnsi="Cambria" w:cs="Times New Roman"/>
                <w:color w:val="000000"/>
                <w:sz w:val="20"/>
                <w:szCs w:val="20"/>
              </w:rPr>
              <w:t xml:space="preserve">656043, Барнаул, пр-т Ленина, 17</w:t>
            </w:r>
            <w:r/>
          </w:p>
        </w:tc>
        <w:tc>
          <w:tcPr>
            <w:tcW w:w="2409" w:type="dxa"/>
            <w:textDirection w:val="lrTb"/>
            <w:noWrap/>
          </w:tcPr>
          <w:p>
            <w:pPr>
              <w:rPr>
                <w:rFonts w:ascii="Cambria" w:hAnsi="Cambria" w:cs="Times New Roman"/>
                <w:color w:val="000000"/>
                <w:sz w:val="20"/>
                <w:szCs w:val="20"/>
                <w:shd w:val="clear" w:color="auto" w:fill="FFFFFF"/>
              </w:rPr>
            </w:pPr>
            <w:r>
              <w:rPr>
                <w:rFonts w:ascii="Cambria" w:hAnsi="Cambria" w:cs="Times New Roman"/>
                <w:color w:val="000000"/>
                <w:sz w:val="20"/>
                <w:szCs w:val="20"/>
                <w:shd w:val="clear" w:color="auto" w:fill="FFFFFF"/>
              </w:rPr>
              <w:t xml:space="preserve">Руководитель – митрополит Барнаульский и Алтайский Сергий (</w:t>
            </w:r>
            <w:hyperlink r:id="rId28" w:history="1">
              <w:r>
                <w:rPr>
                  <w:rFonts w:ascii="Cambria" w:hAnsi="Cambria" w:cs="Times New Roman"/>
                  <w:color w:val="000000"/>
                  <w:sz w:val="20"/>
                  <w:szCs w:val="20"/>
                  <w:shd w:val="clear" w:color="auto" w:fill="FFFFFF"/>
                </w:rPr>
                <w:t xml:space="preserve">Иванников Сергей Иванович</w:t>
              </w:r>
            </w:hyperlink>
            <w:r>
              <w:rPr>
                <w:rFonts w:ascii="Cambria" w:hAnsi="Cambria" w:cs="Times New Roman"/>
                <w:color w:val="000000"/>
                <w:sz w:val="20"/>
                <w:szCs w:val="20"/>
                <w:shd w:val="clear" w:color="auto" w:fill="FFFFFF"/>
              </w:rPr>
              <w:t xml:space="preserve">)</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2</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БИЙСКАЯ ЕПАРХИЯ АЛТАЙСКОЙ МИТРОПОЛИИ РУССКОЙ ПРАВОСЛАВНОЙ ЦЕРКВИ (МОСКОВСКИЙ ПАТРИАРХАТ) </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Епархиальное Управление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Бийской епархии Алтайской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митрополии </w:t>
            </w:r>
            <w:r/>
          </w:p>
          <w:p>
            <w:pPr>
              <w:rPr>
                <w:rFonts w:ascii="Cambria" w:hAnsi="Cambria" w:cs="Times New Roman"/>
                <w:color w:val="000000"/>
                <w:sz w:val="20"/>
                <w:szCs w:val="20"/>
              </w:rPr>
            </w:pPr>
            <w:r>
              <w:rPr>
                <w:rFonts w:ascii="Cambria" w:hAnsi="Cambria" w:cs="Times New Roman"/>
                <w:color w:val="000000" w:themeColor="text1"/>
                <w:sz w:val="20"/>
                <w:szCs w:val="20"/>
              </w:rPr>
              <w:t xml:space="preserve">659300, Алтайский край, г.Бийск, ул.Советская,13</w:t>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Руководитель –епископ Бийский и Белокурихинский Серафим (Савостьянов Владимир Владимирович)</w:t>
            </w:r>
            <w:r/>
          </w:p>
          <w:p>
            <w:pPr>
              <w:rPr>
                <w:rFonts w:ascii="Cambria" w:hAnsi="Cambria" w:cs="Times New Roman"/>
                <w:color w:val="000000"/>
                <w:sz w:val="20"/>
                <w:szCs w:val="20"/>
              </w:rPr>
            </w:pPr>
            <w:r>
              <w:rPr>
                <w:rFonts w:ascii="Cambria" w:hAnsi="Cambria" w:cs="Times New Roman"/>
                <w:color w:val="000000" w:themeColor="text1"/>
                <w:sz w:val="20"/>
                <w:szCs w:val="20"/>
              </w:rPr>
            </w:r>
            <w:r>
              <w:rPr>
                <w:rFonts w:ascii="Cambria" w:hAnsi="Cambria" w:cs="Times New Roman"/>
                <w:color w:val="000000" w:themeColor="text1"/>
                <w:sz w:val="20"/>
                <w:szCs w:val="20"/>
              </w:rPr>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3</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СЛАВГОРОДСКАЯ ЕПАРХИЯ </w:t>
            </w:r>
            <w:r/>
          </w:p>
          <w:p>
            <w:pPr>
              <w:rPr>
                <w:rFonts w:ascii="Cambria" w:hAnsi="Cambria" w:cs="Times New Roman"/>
                <w:color w:val="000000"/>
                <w:sz w:val="18"/>
                <w:szCs w:val="18"/>
              </w:rPr>
            </w:pPr>
            <w:r>
              <w:rPr>
                <w:rFonts w:ascii="Cambria" w:hAnsi="Cambria" w:cs="Times New Roman"/>
                <w:color w:val="000000" w:themeColor="text1"/>
                <w:sz w:val="18"/>
                <w:szCs w:val="18"/>
              </w:rPr>
              <w:t xml:space="preserve">АЛТАЙСКОЙ МИРОПОЛИИ РУССКОЙ ПРАВОСЛАВНОЙ ЦЕРКВИ (МОСКОВСКИЙ ПАТРИАРХАТ)</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Епархиальное Управление Славгородской и Каменской епархии Алтайской митрополии </w:t>
            </w:r>
            <w:r/>
          </w:p>
          <w:p>
            <w:pPr>
              <w:rPr>
                <w:rFonts w:ascii="Cambria" w:hAnsi="Cambria" w:cs="Times New Roman"/>
                <w:color w:val="000000"/>
                <w:sz w:val="20"/>
                <w:szCs w:val="20"/>
              </w:rPr>
            </w:pPr>
            <w:r>
              <w:rPr>
                <w:rFonts w:ascii="Cambria" w:hAnsi="Cambria" w:cs="Times New Roman"/>
                <w:color w:val="000000" w:themeColor="text1"/>
                <w:sz w:val="20"/>
                <w:szCs w:val="20"/>
              </w:rPr>
              <w:t xml:space="preserve">659300, Алтайский край, г. Славгород, ул. Ленина 191/1</w:t>
            </w:r>
            <w:r/>
          </w:p>
          <w:p>
            <w:pPr>
              <w:rPr>
                <w:rFonts w:ascii="Cambria" w:hAnsi="Cambria" w:cs="Times New Roman"/>
                <w:color w:val="000000"/>
                <w:sz w:val="20"/>
                <w:szCs w:val="20"/>
              </w:rPr>
            </w:pPr>
            <w:r>
              <w:rPr>
                <w:rFonts w:ascii="Cambria" w:hAnsi="Cambria" w:cs="Times New Roman"/>
                <w:color w:val="000000" w:themeColor="text1"/>
                <w:sz w:val="20"/>
                <w:szCs w:val="20"/>
              </w:rPr>
            </w:r>
            <w:r>
              <w:rPr>
                <w:rFonts w:ascii="Cambria" w:hAnsi="Cambria" w:cs="Times New Roman"/>
                <w:color w:val="000000" w:themeColor="text1"/>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Руководитель – епископ Славгородский и Камен</w:t>
            </w:r>
            <w:r>
              <w:rPr>
                <w:rFonts w:ascii="Cambria" w:hAnsi="Cambria" w:cs="Times New Roman"/>
                <w:color w:val="000000" w:themeColor="text1"/>
                <w:sz w:val="20"/>
                <w:szCs w:val="20"/>
              </w:rPr>
              <w:t xml:space="preserve">ский Антоний (</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4</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РУБЦОВСКАЯ ЕПАРХИЯАЛТАЙСКОЙ МИРОПОЛИИ РУССКОЙ ПРАВОСЛАВНОЙ ЦЕРКВИ (МОСКОВСКИЙ ПАТРИАРХАТ)</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Епархиальное Управление Рубцовской и Алейской епархии Алтайской митрополии</w:t>
            </w:r>
            <w:r/>
          </w:p>
          <w:p>
            <w:pPr>
              <w:rPr>
                <w:rFonts w:ascii="Cambria" w:hAnsi="Cambria" w:cs="Times New Roman"/>
                <w:color w:val="000000"/>
                <w:sz w:val="20"/>
                <w:szCs w:val="20"/>
              </w:rPr>
            </w:pPr>
            <w:r>
              <w:rPr>
                <w:rFonts w:ascii="Cambria" w:hAnsi="Cambria" w:cs="Times New Roman"/>
                <w:color w:val="000000" w:themeColor="text1"/>
                <w:sz w:val="20"/>
                <w:szCs w:val="20"/>
              </w:rPr>
              <w:t xml:space="preserve">658224, Алтайский край,</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Рубцовск, ул. Советская, д.9</w:t>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Руководитель – епископ Рубцовский и Алейский Роман (Корнев Андрей Васильевич)</w:t>
            </w:r>
            <w:r/>
          </w:p>
          <w:p>
            <w:pPr>
              <w:rPr>
                <w:rFonts w:ascii="Cambria" w:hAnsi="Cambria" w:cs="Times New Roman"/>
                <w:color w:val="000000"/>
                <w:sz w:val="20"/>
                <w:szCs w:val="20"/>
              </w:rPr>
            </w:pPr>
            <w:r>
              <w:rPr>
                <w:rFonts w:ascii="Cambria" w:hAnsi="Cambria" w:cs="Times New Roman"/>
                <w:color w:val="000000" w:themeColor="text1"/>
                <w:sz w:val="20"/>
                <w:szCs w:val="20"/>
              </w:rPr>
            </w:r>
            <w:r>
              <w:rPr>
                <w:rFonts w:ascii="Cambria" w:hAnsi="Cambria" w:cs="Times New Roman"/>
                <w:color w:val="000000" w:themeColor="text1"/>
                <w:sz w:val="20"/>
                <w:szCs w:val="20"/>
              </w:rPr>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5</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ПОКРОВСКАЯ СТАРООБРЯДЧЕСКАЯ ОБЩИНА ГОРОДА БАРНАУЛА</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656050, Алтайский край, город Барнаул, ул. Георгия Исакова, дом 154</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Настоятель, председатель приходского совета</w:t>
            </w:r>
            <w:r/>
          </w:p>
          <w:p>
            <w:pPr>
              <w:rPr>
                <w:rFonts w:ascii="Cambria" w:hAnsi="Cambria" w:cs="Times New Roman"/>
                <w:color w:val="000000"/>
                <w:sz w:val="20"/>
                <w:szCs w:val="20"/>
              </w:rPr>
            </w:pPr>
            <w:r>
              <w:rPr>
                <w:rFonts w:ascii="Cambria" w:hAnsi="Cambria" w:cs="Times New Roman"/>
                <w:color w:val="000000" w:themeColor="text1"/>
                <w:sz w:val="20"/>
                <w:szCs w:val="20"/>
              </w:rPr>
              <w:t xml:space="preserve">Думнов Николай Михайлович</w:t>
            </w:r>
            <w:r/>
          </w:p>
          <w:p>
            <w:pPr>
              <w:rPr>
                <w:rFonts w:ascii="Cambria" w:hAnsi="Cambria" w:cs="Times New Roman"/>
                <w:color w:val="000000"/>
                <w:sz w:val="20"/>
                <w:szCs w:val="20"/>
              </w:rPr>
            </w:pPr>
            <w:r>
              <w:rPr>
                <w:rFonts w:ascii="Cambria" w:hAnsi="Cambria" w:cs="Times New Roman"/>
                <w:color w:val="000000" w:themeColor="text1"/>
                <w:sz w:val="20"/>
                <w:szCs w:val="20"/>
              </w:rPr>
            </w:r>
            <w:r>
              <w:rPr>
                <w:rFonts w:ascii="Cambria" w:hAnsi="Cambria" w:cs="Times New Roman"/>
                <w:color w:val="000000" w:themeColor="text1"/>
                <w:sz w:val="20"/>
                <w:szCs w:val="20"/>
              </w:rPr>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6</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ПРИХОДА ХРИСТА ЦАРЯ ВСЕЛЕННОЙ РИМСКО-КАТОЛИЧЕСКОЙ ЦЕРКВИ ГОРОДА БАРНАУЛА</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656052, Алтайский край, город Барнаул, улица Матросова, 113</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Настоятель, председатель приходского совета</w:t>
            </w:r>
            <w:r/>
          </w:p>
          <w:p>
            <w:pPr>
              <w:rPr>
                <w:rFonts w:ascii="Cambria" w:hAnsi="Cambria" w:cs="Times New Roman"/>
                <w:color w:val="000000"/>
                <w:sz w:val="20"/>
                <w:szCs w:val="20"/>
              </w:rPr>
            </w:pPr>
            <w:r>
              <w:rPr>
                <w:rFonts w:ascii="Cambria" w:hAnsi="Cambria" w:cs="Times New Roman"/>
                <w:color w:val="000000" w:themeColor="text1"/>
                <w:sz w:val="20"/>
                <w:szCs w:val="20"/>
              </w:rPr>
              <w:t xml:space="preserve">Каленцки Богдан Станислав</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7</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ЦЕРКОВЬ "СУРБ РИПСИМЕ" (СВЯТОЙ РИПСИМЕ) ГОРОДА БАРНАУЛА АЛТАЙСКОГО КРАЯ (РОССИЙСКОЙ И НОВО-НАХИЧЕВАНСКОЙ ЕПАРХИИ) СВЯТОЙ АРМЯНСКОЙ АПОСТОЛЬСКОЙ ПРАВОСЛАВНОЙ ЦЕРКВИ</w:t>
            </w:r>
            <w:r/>
          </w:p>
          <w:p>
            <w:pPr>
              <w:rPr>
                <w:rFonts w:ascii="Cambria" w:hAnsi="Cambria" w:cs="Times New Roman"/>
                <w:color w:val="000000"/>
                <w:sz w:val="18"/>
                <w:szCs w:val="18"/>
              </w:rPr>
            </w:pPr>
            <w:r>
              <w:rPr>
                <w:rFonts w:ascii="Cambria" w:hAnsi="Cambria" w:cs="Times New Roman"/>
                <w:color w:val="000000" w:themeColor="text1"/>
                <w:sz w:val="18"/>
                <w:szCs w:val="18"/>
              </w:rPr>
            </w:r>
            <w:r>
              <w:rPr>
                <w:rFonts w:ascii="Cambria" w:hAnsi="Cambria" w:cs="Times New Roman"/>
                <w:color w:val="000000" w:themeColor="text1"/>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656067,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Барнаул, ул. Попова, 210</w:t>
            </w:r>
            <w:r/>
          </w:p>
          <w:p>
            <w:pPr>
              <w:rPr>
                <w:rFonts w:ascii="Cambria" w:hAnsi="Cambria" w:cs="Times New Roman"/>
                <w:color w:val="000000"/>
                <w:sz w:val="20"/>
                <w:szCs w:val="20"/>
              </w:rPr>
            </w:pPr>
            <w:r>
              <w:rPr>
                <w:rFonts w:ascii="Cambria" w:hAnsi="Cambria" w:cs="Times New Roman"/>
                <w:color w:val="000000"/>
                <w:sz w:val="20"/>
                <w:szCs w:val="20"/>
              </w:rPr>
            </w: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Настоятель, председатель приходского совета</w:t>
            </w:r>
            <w:r/>
          </w:p>
          <w:p>
            <w:pPr>
              <w:rPr>
                <w:rFonts w:ascii="Cambria" w:hAnsi="Cambria" w:cs="Times New Roman"/>
                <w:color w:val="000000"/>
                <w:sz w:val="20"/>
                <w:szCs w:val="20"/>
              </w:rPr>
            </w:pPr>
            <w:r>
              <w:rPr>
                <w:rFonts w:ascii="Cambria" w:hAnsi="Cambria" w:cs="Times New Roman"/>
                <w:color w:val="000000" w:themeColor="text1"/>
                <w:sz w:val="20"/>
                <w:szCs w:val="20"/>
              </w:rPr>
              <w:t xml:space="preserve">Акопян АндраникРафикович</w:t>
            </w:r>
            <w:r/>
          </w:p>
          <w:p>
            <w:pPr>
              <w:rPr>
                <w:rFonts w:ascii="Cambria" w:hAnsi="Cambria" w:cs="Times New Roman"/>
                <w:color w:val="000000"/>
                <w:sz w:val="20"/>
                <w:szCs w:val="20"/>
              </w:rPr>
            </w:pPr>
            <w:r>
              <w:rPr>
                <w:rFonts w:ascii="Cambria" w:hAnsi="Cambria" w:cs="Times New Roman"/>
                <w:color w:val="000000" w:themeColor="text1"/>
                <w:sz w:val="20"/>
                <w:szCs w:val="20"/>
              </w:rPr>
              <w:t xml:space="preserve">(отец Маштоц)</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8</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"ЦЕНТРАЛЬНАЯ БАРНАУЛЬСКАЯ ЦЕРКОВЬ "ЕВАНГЕЛЬСКИХ ХРИСТИАН - БАПТИСТОВ"</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656906,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Барнаул, поселок Южный,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ул. Археологическая, 1</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Старший пастор, руководитель прихода</w:t>
            </w:r>
            <w:r/>
          </w:p>
          <w:p>
            <w:pPr>
              <w:rPr>
                <w:rFonts w:ascii="Cambria" w:hAnsi="Cambria" w:cs="Times New Roman"/>
                <w:color w:val="000000"/>
                <w:sz w:val="20"/>
                <w:szCs w:val="20"/>
              </w:rPr>
            </w:pPr>
            <w:r>
              <w:rPr>
                <w:rFonts w:ascii="Cambria" w:hAnsi="Cambria" w:cs="Times New Roman"/>
                <w:color w:val="000000" w:themeColor="text1"/>
                <w:sz w:val="20"/>
                <w:szCs w:val="20"/>
              </w:rPr>
              <w:t xml:space="preserve">Прощалыкин Андрей Петрович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9</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ХРИСТИАН ВЕРЫ ЕВАНГЕЛЬСКОЙ ЦЕРКОВЬ "НОВАЯ ЖИЗНЬ" Г. БАРНАУЛА</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656053,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Барнаул, улица Бийская,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д. 10</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sz w:val="20"/>
                <w:szCs w:val="20"/>
              </w:rPr>
            </w: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Епископ, руководитель ЦРО</w:t>
            </w:r>
            <w:r/>
          </w:p>
          <w:p>
            <w:pPr>
              <w:rPr>
                <w:rFonts w:ascii="Cambria" w:hAnsi="Cambria" w:cs="Times New Roman"/>
                <w:color w:val="000000"/>
                <w:sz w:val="20"/>
                <w:szCs w:val="20"/>
              </w:rPr>
            </w:pPr>
            <w:r>
              <w:rPr>
                <w:rFonts w:ascii="Cambria" w:hAnsi="Cambria" w:cs="Times New Roman"/>
                <w:color w:val="000000" w:themeColor="text1"/>
                <w:sz w:val="20"/>
                <w:szCs w:val="20"/>
              </w:rPr>
              <w:t xml:space="preserve">Потапов Сергей Сергеевич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10</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ЦЕРКОВЬ ХРИСТИАН АДВЕНТИСТОВ СЕДЬМОГО ДНЯ Г.БАРНАУЛА</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656036, Алтайский край, г. Барнаул,</w:t>
            </w:r>
            <w:r/>
          </w:p>
          <w:p>
            <w:pPr>
              <w:rPr>
                <w:rFonts w:ascii="Cambria" w:hAnsi="Cambria" w:cs="Times New Roman"/>
                <w:color w:val="000000"/>
                <w:sz w:val="20"/>
                <w:szCs w:val="20"/>
              </w:rPr>
            </w:pPr>
            <w:r>
              <w:rPr>
                <w:rFonts w:ascii="Cambria" w:hAnsi="Cambria" w:cs="Times New Roman"/>
                <w:color w:val="000000" w:themeColor="text1"/>
                <w:sz w:val="20"/>
                <w:szCs w:val="20"/>
              </w:rPr>
              <w:t xml:space="preserve"> ул. С-Западная, 79</w:t>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Пастор,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Киселёв Александр Сергеевич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11</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ДУХОВНОЕ УПРАВЛЕНИЕ МУСУЛЬМАН АЛТАЙСКОГО КРАЯ</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Центральная соборная мечеть г. Барнаула ДУМ Алтайского края</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themeColor="text1"/>
                <w:sz w:val="20"/>
                <w:szCs w:val="20"/>
              </w:rPr>
              <w:t xml:space="preserve">656052,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Барнаул, улица Матросова, 163</w:t>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Главный имам, председатель Духовного управления </w:t>
            </w:r>
            <w:r>
              <w:rPr>
                <w:rFonts w:ascii="Cambria" w:hAnsi="Cambria" w:cs="Times New Roman"/>
                <w:color w:val="000000" w:themeColor="text1"/>
                <w:sz w:val="20"/>
                <w:szCs w:val="20"/>
              </w:rPr>
              <w:t xml:space="preserve">мусульман Алтайского края</w:t>
            </w:r>
            <w:r/>
          </w:p>
          <w:p>
            <w:pPr>
              <w:rPr>
                <w:rFonts w:ascii="Cambria" w:hAnsi="Cambria" w:cs="Times New Roman"/>
                <w:color w:val="000000"/>
                <w:sz w:val="20"/>
                <w:szCs w:val="20"/>
              </w:rPr>
            </w:pPr>
            <w:r>
              <w:rPr>
                <w:rFonts w:ascii="Cambria" w:hAnsi="Cambria" w:cs="Times New Roman"/>
                <w:color w:val="000000" w:themeColor="text1"/>
                <w:sz w:val="20"/>
                <w:szCs w:val="20"/>
              </w:rPr>
              <w:t xml:space="preserve">Ахметгалиев Фагим</w:t>
            </w:r>
            <w:r/>
          </w:p>
          <w:p>
            <w:pPr>
              <w:rPr>
                <w:rFonts w:ascii="Cambria" w:hAnsi="Cambria" w:cs="Times New Roman"/>
                <w:color w:val="000000"/>
                <w:sz w:val="20"/>
                <w:szCs w:val="20"/>
              </w:rPr>
            </w:pPr>
            <w:r>
              <w:rPr>
                <w:rFonts w:ascii="Cambria" w:hAnsi="Cambria" w:cs="Times New Roman"/>
                <w:color w:val="000000" w:themeColor="text1"/>
                <w:sz w:val="20"/>
                <w:szCs w:val="20"/>
              </w:rPr>
              <w:t xml:space="preserve">Маснавиевич</w:t>
            </w:r>
            <w:r/>
          </w:p>
          <w:p>
            <w:pPr>
              <w:rPr>
                <w:rFonts w:ascii="Cambria" w:hAnsi="Cambria" w:cs="Times New Roman"/>
                <w:color w:val="000000"/>
                <w:sz w:val="20"/>
                <w:szCs w:val="20"/>
              </w:rPr>
            </w:pPr>
            <w:r>
              <w:rPr>
                <w:rFonts w:ascii="Cambria" w:hAnsi="Cambria" w:cs="Times New Roman"/>
                <w:color w:val="000000" w:themeColor="text1"/>
                <w:sz w:val="20"/>
                <w:szCs w:val="20"/>
              </w:rPr>
            </w:r>
            <w:r>
              <w:rPr>
                <w:rFonts w:ascii="Cambria" w:hAnsi="Cambria" w:cs="Times New Roman"/>
                <w:color w:val="000000" w:themeColor="text1"/>
                <w:sz w:val="20"/>
                <w:szCs w:val="20"/>
              </w:rPr>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12</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МУСУЛМАНСКАЯ РЕЛИГИОЗНАЯ ОРГАНИЗАЦИЯ-ПРИХОД СОБОРНОЙ МЕЧЕТИ </w:t>
            </w:r>
            <w:r/>
          </w:p>
          <w:p>
            <w:pPr>
              <w:rPr>
                <w:rFonts w:ascii="Cambria" w:hAnsi="Cambria" w:cs="Times New Roman"/>
                <w:color w:val="000000"/>
                <w:sz w:val="18"/>
                <w:szCs w:val="18"/>
              </w:rPr>
            </w:pPr>
            <w:r>
              <w:rPr>
                <w:rFonts w:ascii="Cambria" w:hAnsi="Cambria" w:cs="Times New Roman"/>
                <w:color w:val="000000" w:themeColor="text1"/>
                <w:sz w:val="18"/>
                <w:szCs w:val="18"/>
              </w:rPr>
              <w:t xml:space="preserve">Г. РУБЦОВСКА ЦЕНТРАЛИЗОВАННОЙ РЕЛИГИОЗНОЙ ОРГАНИЗАЦИИ-ДУХОВНОЕ УПРАВЛЕНИЕ МУСУЛЬМАН АЛТАЙСКОГО КРАЯ</w:t>
            </w:r>
            <w:r/>
          </w:p>
          <w:p>
            <w:pPr>
              <w:rPr>
                <w:rFonts w:ascii="Cambria" w:hAnsi="Cambria" w:cs="Times New Roman"/>
                <w:color w:val="000000"/>
                <w:sz w:val="18"/>
                <w:szCs w:val="18"/>
              </w:rPr>
            </w:pPr>
            <w:r>
              <w:rPr>
                <w:rFonts w:ascii="Cambria" w:hAnsi="Cambria" w:cs="Times New Roman"/>
                <w:color w:val="000000" w:themeColor="text1"/>
                <w:sz w:val="18"/>
                <w:szCs w:val="18"/>
              </w:rPr>
            </w:r>
            <w:r>
              <w:rPr>
                <w:rFonts w:ascii="Cambria" w:hAnsi="Cambria" w:cs="Times New Roman"/>
                <w:color w:val="000000" w:themeColor="text1"/>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658225,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Рубцовск, Пролетарская площадь, 258.</w:t>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Имам-хатыб, председатель приходского совета Фатхудинов Рустам </w:t>
            </w:r>
            <w:r/>
          </w:p>
          <w:p>
            <w:pPr>
              <w:rPr>
                <w:rFonts w:ascii="Cambria" w:hAnsi="Cambria" w:cs="Times New Roman"/>
                <w:color w:val="000000"/>
                <w:sz w:val="20"/>
                <w:szCs w:val="20"/>
              </w:rPr>
            </w:pPr>
            <w:r>
              <w:rPr>
                <w:rFonts w:ascii="Cambria" w:hAnsi="Cambria" w:cs="Times New Roman"/>
                <w:color w:val="000000" w:themeColor="text1"/>
                <w:sz w:val="20"/>
                <w:szCs w:val="20"/>
              </w:rPr>
              <w:t xml:space="preserve">Сайфародинович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13</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МУСУЛЬМАНСКАЯ РЕЛИГИОЗНАЯ ОРГАНИЗАЦИЯ-ПРИХОД СОБОРНОЙ МЕЧЕТИ </w:t>
            </w:r>
            <w:r/>
          </w:p>
          <w:p>
            <w:pPr>
              <w:rPr>
                <w:rFonts w:ascii="Cambria" w:hAnsi="Cambria" w:cs="Times New Roman"/>
                <w:color w:val="000000"/>
                <w:sz w:val="18"/>
                <w:szCs w:val="18"/>
              </w:rPr>
            </w:pPr>
            <w:r>
              <w:rPr>
                <w:rFonts w:ascii="Cambria" w:hAnsi="Cambria" w:cs="Times New Roman"/>
                <w:color w:val="000000" w:themeColor="text1"/>
                <w:sz w:val="18"/>
                <w:szCs w:val="18"/>
              </w:rPr>
              <w:t xml:space="preserve">Г. СЛАВГОРОДА ДУХОВНОЕ УПРАВЛЕНИЕ МУСУЛЬМАН АЛТАЙСКОГО КРАЯ</w:t>
            </w:r>
            <w:r/>
          </w:p>
          <w:p>
            <w:pPr>
              <w:rPr>
                <w:rFonts w:ascii="Cambria" w:hAnsi="Cambria" w:cs="Times New Roman"/>
                <w:color w:val="000000"/>
                <w:sz w:val="18"/>
                <w:szCs w:val="18"/>
              </w:rPr>
            </w:pPr>
            <w:r>
              <w:rPr>
                <w:rFonts w:ascii="Cambria" w:hAnsi="Cambria" w:cs="Times New Roman"/>
                <w:color w:val="000000" w:themeColor="text1"/>
                <w:sz w:val="18"/>
                <w:szCs w:val="18"/>
              </w:rPr>
            </w:r>
            <w:r>
              <w:rPr>
                <w:rFonts w:ascii="Cambria" w:hAnsi="Cambria" w:cs="Times New Roman"/>
                <w:color w:val="000000" w:themeColor="text1"/>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658828, Алтайский край,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г. Славгород, ул. Титова, </w:t>
            </w:r>
            <w:r/>
          </w:p>
          <w:p>
            <w:pPr>
              <w:rPr>
                <w:rFonts w:ascii="Cambria" w:hAnsi="Cambria" w:cs="Times New Roman"/>
                <w:color w:val="000000"/>
                <w:sz w:val="20"/>
                <w:szCs w:val="20"/>
              </w:rPr>
            </w:pPr>
            <w:r>
              <w:rPr>
                <w:rFonts w:ascii="Cambria" w:hAnsi="Cambria" w:cs="Times New Roman"/>
                <w:color w:val="000000" w:themeColor="text1"/>
                <w:sz w:val="20"/>
                <w:szCs w:val="20"/>
              </w:rPr>
              <w:t xml:space="preserve">238 А</w:t>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Председатель приходского совета Ярулин</w:t>
            </w:r>
            <w:r/>
          </w:p>
          <w:p>
            <w:pPr>
              <w:rPr>
                <w:rFonts w:ascii="Cambria" w:hAnsi="Cambria" w:cs="Times New Roman"/>
                <w:color w:val="000000"/>
                <w:sz w:val="20"/>
                <w:szCs w:val="20"/>
              </w:rPr>
            </w:pPr>
            <w:r>
              <w:rPr>
                <w:rFonts w:ascii="Cambria" w:hAnsi="Cambria" w:cs="Times New Roman"/>
                <w:color w:val="000000" w:themeColor="text1"/>
                <w:sz w:val="20"/>
                <w:szCs w:val="20"/>
              </w:rPr>
              <w:t xml:space="preserve">Ойрат Салимович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14</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МУСУЛЬМАНСКАЯ РЕЛИГИОЗНАЯ ОРГАНИЗАЦИЯ - ПРИХОД СОБОРНОЙ МЕЧЕТИ С. МИХАЙЛОВСКОЕ МИХАЙЛОВСКОГО РАЙОНА АЛТАЙСКОГО КРАЯ ЦЕНТРАЛИЗОВАННОЙ РЕЛИГИОЗНОЙ ОРГАНИЗАЦИИ - ДУХОВНОЕ УПРАВЛЕНИЕ МУСУЛЬМАН АЛТАЙСКОГО КРАЯ</w:t>
            </w:r>
            <w:r/>
          </w:p>
          <w:p>
            <w:pPr>
              <w:rPr>
                <w:rFonts w:ascii="Cambria" w:hAnsi="Cambria" w:cs="Times New Roman"/>
                <w:color w:val="000000"/>
                <w:sz w:val="18"/>
                <w:szCs w:val="18"/>
              </w:rPr>
            </w:pPr>
            <w:r>
              <w:rPr>
                <w:rFonts w:ascii="Cambria" w:hAnsi="Cambria" w:cs="Times New Roman"/>
                <w:color w:val="000000" w:themeColor="text1"/>
                <w:sz w:val="18"/>
                <w:szCs w:val="18"/>
              </w:rPr>
            </w:r>
            <w:r>
              <w:rPr>
                <w:rFonts w:ascii="Cambria" w:hAnsi="Cambria" w:cs="Times New Roman"/>
                <w:color w:val="000000" w:themeColor="text1"/>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658960, Алтайский край, Михайловский район, </w:t>
            </w:r>
            <w:r/>
          </w:p>
          <w:p>
            <w:pPr>
              <w:rPr>
                <w:rFonts w:ascii="Cambria" w:hAnsi="Cambria" w:cs="Times New Roman"/>
                <w:color w:val="000000"/>
                <w:sz w:val="20"/>
                <w:szCs w:val="20"/>
              </w:rPr>
            </w:pPr>
            <w:r>
              <w:rPr>
                <w:rFonts w:ascii="Cambria" w:hAnsi="Cambria" w:cs="Times New Roman"/>
                <w:color w:val="000000" w:themeColor="text1"/>
                <w:sz w:val="20"/>
                <w:szCs w:val="20"/>
              </w:rPr>
              <w:t xml:space="preserve">с. Михайловское, улица 100 лет </w:t>
            </w:r>
            <w:r/>
          </w:p>
          <w:p>
            <w:pPr>
              <w:rPr>
                <w:rFonts w:ascii="Cambria" w:hAnsi="Cambria" w:cs="Times New Roman"/>
                <w:color w:val="000000"/>
                <w:sz w:val="20"/>
                <w:szCs w:val="20"/>
              </w:rPr>
            </w:pPr>
            <w:r>
              <w:rPr>
                <w:rFonts w:ascii="Cambria" w:hAnsi="Cambria" w:cs="Times New Roman"/>
                <w:color w:val="000000" w:themeColor="text1"/>
                <w:sz w:val="20"/>
                <w:szCs w:val="20"/>
              </w:rPr>
              <w:t xml:space="preserve">Михайловского, дом 15</w:t>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Председатель приходского совета Тимергалиев Ерлан Ирназадович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15</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МУСУЛЬМАНСКАЯ РЕЛИГИОЗНАЯ ОРГАНИЗАЦИЯ - ПРИХОД СОБОРНОЙ МЕЧЕТИ Г. БИЙСКА ЦЕНТРАЛИЗОВАННОЙ РЕЛИГИОЗНОЙ ОРГАНИЗАЦИИ - ДУХОВНОЕ УПРАВЛЕНИЕ МУСУЛЬМАН АЛТАЙСКОГО КРАЯ</w:t>
            </w:r>
            <w:r/>
          </w:p>
          <w:p>
            <w:pPr>
              <w:rPr>
                <w:rFonts w:ascii="Cambria" w:hAnsi="Cambria" w:cs="Times New Roman"/>
                <w:color w:val="000000"/>
                <w:sz w:val="18"/>
                <w:szCs w:val="18"/>
              </w:rPr>
            </w:pPr>
            <w:r>
              <w:rPr>
                <w:rFonts w:ascii="Cambria" w:hAnsi="Cambria" w:cs="Times New Roman"/>
                <w:color w:val="000000" w:themeColor="text1"/>
                <w:sz w:val="18"/>
                <w:szCs w:val="18"/>
              </w:rPr>
            </w:r>
            <w:r>
              <w:rPr>
                <w:rFonts w:ascii="Cambria" w:hAnsi="Cambria" w:cs="Times New Roman"/>
                <w:color w:val="000000" w:themeColor="text1"/>
                <w:sz w:val="18"/>
                <w:szCs w:val="18"/>
              </w:rPr>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659311, Алтайский край, город Бийск, ул. Степана Разина, д.51</w:t>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Председатель прихода</w:t>
            </w:r>
            <w:r/>
          </w:p>
          <w:p>
            <w:pPr>
              <w:rPr>
                <w:rFonts w:ascii="Cambria" w:hAnsi="Cambria" w:cs="Times New Roman"/>
                <w:color w:val="000000"/>
                <w:sz w:val="20"/>
                <w:szCs w:val="20"/>
              </w:rPr>
            </w:pPr>
            <w:r>
              <w:rPr>
                <w:rFonts w:ascii="Cambria" w:hAnsi="Cambria" w:cs="Times New Roman"/>
                <w:color w:val="000000" w:themeColor="text1"/>
                <w:sz w:val="20"/>
                <w:szCs w:val="20"/>
              </w:rPr>
              <w:t xml:space="preserve">Ходжиматов Джахонгир Турсунпулотович</w:t>
            </w:r>
            <w:r/>
          </w:p>
        </w:tc>
      </w:tr>
      <w:tr>
        <w:trPr/>
        <w:tc>
          <w:tcPr>
            <w:tcW w:w="567" w:type="dxa"/>
            <w:textDirection w:val="lrTb"/>
            <w:noWrap/>
          </w:tcPr>
          <w:p>
            <w:pPr>
              <w:rPr>
                <w:rFonts w:ascii="Cambria" w:hAnsi="Cambria" w:cs="Times New Roman"/>
                <w:b/>
                <w:color w:val="000000"/>
                <w:sz w:val="18"/>
                <w:szCs w:val="18"/>
              </w:rPr>
            </w:pPr>
            <w:r>
              <w:rPr>
                <w:rFonts w:ascii="Cambria" w:hAnsi="Cambria" w:cs="Times New Roman"/>
                <w:b/>
                <w:color w:val="000000"/>
                <w:sz w:val="18"/>
                <w:szCs w:val="18"/>
              </w:rPr>
              <w:t xml:space="preserve">16</w:t>
            </w:r>
            <w:r/>
          </w:p>
        </w:tc>
        <w:tc>
          <w:tcPr>
            <w:tcW w:w="3261" w:type="dxa"/>
            <w:textDirection w:val="lrTb"/>
            <w:noWrap/>
          </w:tcPr>
          <w:p>
            <w:pPr>
              <w:rPr>
                <w:rFonts w:ascii="Cambria" w:hAnsi="Cambria" w:cs="Times New Roman"/>
                <w:color w:val="000000"/>
                <w:sz w:val="18"/>
                <w:szCs w:val="18"/>
              </w:rPr>
            </w:pPr>
            <w:r>
              <w:rPr>
                <w:rFonts w:ascii="Cambria" w:hAnsi="Cambria" w:cs="Times New Roman"/>
                <w:color w:val="000000" w:themeColor="text1"/>
                <w:sz w:val="18"/>
                <w:szCs w:val="18"/>
              </w:rPr>
              <w:t xml:space="preserve">МЕСТНАЯ РЕЛИГИОЗНАЯ ОРГАНИЗАЦИЯ «БУДДИЙСКИЙ ЦЕНТР АЛМАЗНОГО ПУТИ ТРАДИЦИИ КАРМА КАГЬЮ ГОРОДА БАРНАУЛА»</w:t>
            </w:r>
            <w:r/>
          </w:p>
        </w:tc>
        <w:tc>
          <w:tcPr>
            <w:tcW w:w="3402"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656043, Алтайский край, город Барнаул, Мало-Олонская улица, дом 37.</w:t>
            </w:r>
            <w:r/>
          </w:p>
          <w:p>
            <w:pPr>
              <w:rPr>
                <w:rFonts w:ascii="Cambria" w:hAnsi="Cambria" w:cs="Times New Roman"/>
                <w:color w:val="000000"/>
                <w:sz w:val="20"/>
                <w:szCs w:val="20"/>
              </w:rPr>
            </w:pPr>
            <w:r>
              <w:rPr>
                <w:rFonts w:ascii="Cambria" w:hAnsi="Cambria" w:cs="Times New Roman"/>
                <w:color w:val="000000"/>
                <w:sz w:val="20"/>
                <w:szCs w:val="20"/>
              </w:rPr>
            </w:r>
            <w:r/>
          </w:p>
          <w:p>
            <w:pPr>
              <w:rPr>
                <w:rFonts w:ascii="Cambria" w:hAnsi="Cambria" w:cs="Times New Roman"/>
                <w:color w:val="000000"/>
                <w:sz w:val="20"/>
                <w:szCs w:val="20"/>
              </w:rPr>
            </w:pPr>
            <w:r>
              <w:rPr>
                <w:rFonts w:ascii="Cambria" w:hAnsi="Cambria" w:cs="Times New Roman"/>
                <w:color w:val="000000"/>
                <w:sz w:val="20"/>
                <w:szCs w:val="20"/>
              </w:rPr>
            </w:r>
            <w:r/>
          </w:p>
        </w:tc>
        <w:tc>
          <w:tcPr>
            <w:tcW w:w="2409" w:type="dxa"/>
            <w:textDirection w:val="lrTb"/>
            <w:noWrap/>
          </w:tcPr>
          <w:p>
            <w:pPr>
              <w:rPr>
                <w:rFonts w:ascii="Cambria" w:hAnsi="Cambria" w:cs="Times New Roman"/>
                <w:color w:val="000000"/>
                <w:sz w:val="20"/>
                <w:szCs w:val="20"/>
              </w:rPr>
            </w:pPr>
            <w:r>
              <w:rPr>
                <w:rFonts w:ascii="Cambria" w:hAnsi="Cambria" w:cs="Times New Roman"/>
                <w:color w:val="000000" w:themeColor="text1"/>
                <w:sz w:val="20"/>
                <w:szCs w:val="20"/>
              </w:rPr>
              <w:t xml:space="preserve">Председатель приходского совета Каменных Петр Анатольевич</w:t>
            </w:r>
            <w:r/>
          </w:p>
        </w:tc>
      </w:tr>
    </w:tbl>
    <w:p>
      <w:pPr>
        <w:ind w:firstLine="0"/>
        <w:jc w:val="both"/>
        <w:spacing w:lineRule="auto" w:line="240" w:after="0"/>
        <w:rPr>
          <w:rFonts w:ascii="Cambria" w:hAnsi="Cambria" w:cs="Times New Roman"/>
          <w:sz w:val="24"/>
          <w:szCs w:val="24"/>
        </w:rPr>
      </w:pPr>
      <w:r>
        <w:rPr>
          <w:rFonts w:ascii="Cambria" w:hAnsi="Cambria" w:cs="Times New Roman"/>
          <w:sz w:val="24"/>
          <w:szCs w:val="24"/>
        </w:rPr>
      </w:r>
      <w:r/>
    </w:p>
    <w:p>
      <w:pPr>
        <w:rPr>
          <w:rFonts w:ascii="Cambria" w:hAnsi="Cambria" w:cs="Times New Roman"/>
          <w:b/>
          <w:sz w:val="24"/>
          <w:szCs w:val="24"/>
        </w:rPr>
      </w:pPr>
      <w:r>
        <w:rPr>
          <w:rFonts w:ascii="Cambria" w:hAnsi="Cambria" w:cs="Times New Roman"/>
          <w:b/>
          <w:sz w:val="24"/>
          <w:szCs w:val="24"/>
        </w:rPr>
        <w:br w:type="page"/>
      </w:r>
      <w:r/>
    </w:p>
    <w:p>
      <w:pPr>
        <w:ind w:firstLine="709"/>
        <w:jc w:val="center"/>
        <w:spacing w:lineRule="auto" w:line="240" w:after="0"/>
        <w:rPr>
          <w:rFonts w:ascii="Cambria" w:hAnsi="Cambria" w:cs="Times New Roman"/>
          <w:b/>
          <w:sz w:val="24"/>
          <w:szCs w:val="24"/>
        </w:rPr>
      </w:pPr>
      <w:r>
        <w:rPr>
          <w:rFonts w:ascii="Cambria" w:hAnsi="Cambria" w:cs="Times New Roman"/>
          <w:b/>
          <w:sz w:val="24"/>
          <w:szCs w:val="24"/>
        </w:rPr>
        <w:t xml:space="preserve">НОРМЫ ПОВЕДЕНИЯ В ОБЩЕСТВЕННЫХ МЕСТАХ</w:t>
      </w:r>
      <w:r/>
    </w:p>
    <w:p>
      <w:pPr>
        <w:ind w:firstLine="709"/>
        <w:jc w:val="center"/>
        <w:spacing w:lineRule="auto" w:line="240" w:after="0"/>
        <w:rPr>
          <w:rFonts w:ascii="Cambria" w:hAnsi="Cambria" w:cs="Times New Roman"/>
          <w:b/>
          <w:sz w:val="24"/>
          <w:szCs w:val="24"/>
        </w:rPr>
      </w:pPr>
      <w:r>
        <w:rPr>
          <w:rFonts w:ascii="Cambria" w:hAnsi="Cambria" w:cs="Times New Roman"/>
          <w:b/>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Каждый иностранный гражданин, находящийся в Российской Федерации, должен соблюдать и уважать законы, обычаи и традиции страны пребывания!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Главное правило поведения на улице – это не доставлять неудобств и неприятностей окружающим!</w:t>
      </w:r>
      <w:r/>
    </w:p>
    <w:p>
      <w:pPr>
        <w:ind w:firstLine="709"/>
        <w:jc w:val="center"/>
        <w:spacing w:lineRule="auto" w:line="240" w:after="0"/>
        <w:rPr>
          <w:rFonts w:ascii="Cambria" w:hAnsi="Cambria" w:cs="Times New Roman"/>
          <w:sz w:val="24"/>
          <w:szCs w:val="24"/>
          <w:lang w:eastAsia="ru-RU"/>
        </w:rPr>
      </w:pPr>
      <w:r>
        <w:rPr>
          <w:rFonts w:ascii="Cambria" w:hAnsi="Cambria" w:cs="Times New Roman"/>
          <w:sz w:val="24"/>
          <w:szCs w:val="24"/>
          <w:lang w:eastAsia="ru-RU"/>
        </w:rPr>
      </w:r>
      <w:r>
        <w:rPr>
          <w:rFonts w:ascii="Cambria" w:hAnsi="Cambria" w:cs="Times New Roman"/>
          <w:sz w:val="24"/>
          <w:szCs w:val="24"/>
          <w:lang w:eastAsia="ru-RU"/>
        </w:rPr>
        <mc:AlternateContent>
          <mc:Choice Requires="wpg">
            <w:drawing>
              <wp:inline xmlns:wp="http://schemas.openxmlformats.org/drawingml/2006/wordprocessingDrawing" distT="0" distB="0" distL="0" distR="0">
                <wp:extent cx="1514475" cy="1504950"/>
                <wp:effectExtent l="0" t="0" r="0" b="0"/>
                <wp:docPr id="18" name="" hidden="false"/>
                <wp:cNvGraphicFramePr/>
                <a:graphic xmlns:a="http://schemas.openxmlformats.org/drawingml/2006/main">
                  <a:graphicData uri="http://schemas.openxmlformats.org/drawingml/2006/picture">
                    <pic:pic xmlns:pic="http://schemas.openxmlformats.org/drawingml/2006/picture">
                      <pic:nvPicPr>
                        <pic:cNvPr id="19" name="" hidden="0"/>
                        <pic:cNvPicPr/>
                      </pic:nvPicPr>
                      <pic:blipFill>
                        <a:blip r:embed="rId29"/>
                        <a:stretch/>
                      </pic:blipFill>
                      <pic:spPr bwMode="auto">
                        <a:xfrm>
                          <a:off x="0" y="0"/>
                          <a:ext cx="1514475" cy="15049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119.2pt;height:118.5pt;">
                <v:path textboxrect="0,0,0,0"/>
                <v:imagedata r:id="rId29" o:title=""/>
              </v:shape>
            </w:pict>
          </mc:Fallback>
        </mc:AlternateContent>
      </w:r>
      <w:r>
        <w:rPr>
          <w:rFonts w:ascii="Cambria" w:hAnsi="Cambria" w:cs="Times New Roman"/>
          <w:sz w:val="24"/>
          <w:szCs w:val="24"/>
          <w:lang w:eastAsia="ru-RU"/>
        </w:rPr>
        <mc:AlternateContent>
          <mc:Choice Requires="wpg">
            <w:drawing>
              <wp:inline xmlns:wp="http://schemas.openxmlformats.org/drawingml/2006/wordprocessingDrawing" distT="0" distB="0" distL="0" distR="0">
                <wp:extent cx="1495425" cy="1476375"/>
                <wp:effectExtent l="0" t="0" r="0" b="0"/>
                <wp:docPr id="19" name="" hidden="false"/>
                <wp:cNvGraphicFramePr/>
                <a:graphic xmlns:a="http://schemas.openxmlformats.org/drawingml/2006/main">
                  <a:graphicData uri="http://schemas.openxmlformats.org/drawingml/2006/picture">
                    <pic:pic xmlns:pic="http://schemas.openxmlformats.org/drawingml/2006/picture">
                      <pic:nvPicPr>
                        <pic:cNvPr id="20" name="" hidden="0"/>
                        <pic:cNvPicPr/>
                      </pic:nvPicPr>
                      <pic:blipFill>
                        <a:blip r:embed="rId30"/>
                        <a:stretch/>
                      </pic:blipFill>
                      <pic:spPr bwMode="auto">
                        <a:xfrm>
                          <a:off x="0" y="0"/>
                          <a:ext cx="1495425" cy="14763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117.8pt;height:116.2pt;">
                <v:path textboxrect="0,0,0,0"/>
                <v:imagedata r:id="rId30" o:title=""/>
              </v:shape>
            </w:pict>
          </mc:Fallback>
        </mc:AlternateContent>
      </w:r>
      <w:r>
        <w:rPr>
          <w:rFonts w:ascii="Cambria" w:hAnsi="Cambria" w:cs="Times New Roman"/>
          <w:sz w:val="24"/>
          <w:szCs w:val="24"/>
          <w:lang w:eastAsia="ru-RU"/>
        </w:rPr>
        <mc:AlternateContent>
          <mc:Choice Requires="wpg">
            <w:drawing>
              <wp:inline xmlns:wp="http://schemas.openxmlformats.org/drawingml/2006/wordprocessingDrawing" distT="0" distB="0" distL="0" distR="0">
                <wp:extent cx="1514475" cy="1514475"/>
                <wp:effectExtent l="0" t="0" r="0" b="0"/>
                <wp:docPr id="20" name="" hidden="false"/>
                <wp:cNvGraphicFramePr/>
                <a:graphic xmlns:a="http://schemas.openxmlformats.org/drawingml/2006/main">
                  <a:graphicData uri="http://schemas.openxmlformats.org/drawingml/2006/picture">
                    <pic:pic xmlns:pic="http://schemas.openxmlformats.org/drawingml/2006/picture">
                      <pic:nvPicPr>
                        <pic:cNvPr id="21" name="" hidden="0"/>
                        <pic:cNvPicPr/>
                      </pic:nvPicPr>
                      <pic:blipFill>
                        <a:blip r:embed="rId31"/>
                        <a:stretch/>
                      </pic:blipFill>
                      <pic:spPr bwMode="auto">
                        <a:xfrm>
                          <a:off x="0" y="0"/>
                          <a:ext cx="1514475" cy="15144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119.2pt;height:119.2pt;">
                <v:path textboxrect="0,0,0,0"/>
                <v:imagedata r:id="rId31" o:title=""/>
              </v:shape>
            </w:pict>
          </mc:Fallback>
        </mc:AlternateContent>
      </w:r>
      <w:r/>
    </w:p>
    <w:p>
      <w:pPr>
        <w:ind w:firstLine="709"/>
        <w:jc w:val="left"/>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p>
    <w:p>
      <w:pPr>
        <w:jc w:val="center"/>
        <w:rPr>
          <w:rFonts w:ascii="Cambria" w:hAnsi="Cambria" w:cs="Times New Roman"/>
          <w:b/>
          <w:sz w:val="24"/>
          <w:szCs w:val="24"/>
        </w:rPr>
      </w:pPr>
      <w:r>
        <w:rPr>
          <w:rFonts w:ascii="Cambria" w:hAnsi="Cambria" w:cs="Times New Roman"/>
          <w:b/>
          <w:sz w:val="24"/>
          <w:szCs w:val="24"/>
          <w:lang w:eastAsia="ru-RU"/>
        </w:rPr>
      </w:r>
      <w:r>
        <w:rPr>
          <w:rFonts w:ascii="Cambria" w:hAnsi="Cambria" w:cs="Times New Roman"/>
          <w:b/>
          <w:sz w:val="24"/>
          <w:szCs w:val="24"/>
          <w:lang w:eastAsia="ru-RU"/>
        </w:rPr>
        <mc:AlternateContent>
          <mc:Choice Requires="wpg">
            <w:drawing>
              <wp:inline xmlns:wp="http://schemas.openxmlformats.org/drawingml/2006/wordprocessingDrawing" distT="0" distB="0" distL="0" distR="0">
                <wp:extent cx="5426295" cy="3539646"/>
                <wp:effectExtent l="0" t="0" r="0" b="0"/>
                <wp:docPr id="21" name="" hidden="false"/>
                <wp:cNvGraphicFramePr/>
                <a:graphic xmlns:a="http://schemas.openxmlformats.org/drawingml/2006/main">
                  <a:graphicData uri="http://schemas.microsoft.com/office/word/2010/wordprocessingGroup">
                    <wpg:wgp>
                      <wpg:cNvGrpSpPr/>
                      <wpg:grpSpPr bwMode="auto">
                        <a:xfrm>
                          <a:off x="0" y="0"/>
                          <a:ext cx="5426295" cy="3539645"/>
                          <a:chOff x="0" y="0"/>
                          <a:chExt cx="5426295" cy="3539645"/>
                        </a:xfrm>
                      </wpg:grpSpPr>
                      <wps:wsp>
                        <wps:cNvSpPr/>
                        <wps:spPr bwMode="auto">
                          <a:xfrm>
                            <a:off x="4002527" y="1791245"/>
                            <a:ext cx="701233" cy="333689"/>
                          </a:xfrm>
                          <a:custGeom>
                            <a:avLst>
                              <a:gd name="adj0" fmla="val 0"/>
                              <a:gd name="adj1" fmla="val 0"/>
                              <a:gd name="adj2" fmla="val 0"/>
                            </a:avLst>
                            <a:gdLst>
                              <a:gd name="gd0" fmla="val 65536"/>
                              <a:gd name="gd1" fmla="val 0"/>
                              <a:gd name="gd2" fmla="val 0"/>
                              <a:gd name="gd3" fmla="val 0"/>
                              <a:gd name="gd4" fmla="val 68145"/>
                              <a:gd name="gd5" fmla="+- gd3 100000 0"/>
                              <a:gd name="gd6" fmla="+- gd4 0 0"/>
                              <a:gd name="gd7" fmla="val 100000"/>
                              <a:gd name="gd8" fmla="val 99999"/>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3301192" y="1791245"/>
                            <a:ext cx="701233" cy="333689"/>
                          </a:xfrm>
                          <a:custGeom>
                            <a:avLst>
                              <a:gd name="adj0" fmla="val 0"/>
                              <a:gd name="adj1" fmla="val 0"/>
                              <a:gd name="adj2" fmla="val 0"/>
                            </a:avLst>
                            <a:gdLst>
                              <a:gd name="gd0" fmla="val 65536"/>
                              <a:gd name="gd1" fmla="val 100000"/>
                              <a:gd name="gd2" fmla="val 0"/>
                              <a:gd name="gd3" fmla="+- gd1 0 0"/>
                              <a:gd name="gd4" fmla="+- gd2 68145 0"/>
                              <a:gd name="gd5" fmla="val 0"/>
                              <a:gd name="gd6" fmla="val 68145"/>
                              <a:gd name="gd7" fmla="val 0"/>
                              <a:gd name="gd8" fmla="val 99999"/>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2485468" y="728777"/>
                            <a:ext cx="1517058" cy="333689"/>
                          </a:xfrm>
                          <a:custGeom>
                            <a:avLst>
                              <a:gd name="adj0" fmla="val 0"/>
                              <a:gd name="adj1" fmla="val 0"/>
                              <a:gd name="adj2" fmla="val 0"/>
                            </a:avLst>
                            <a:gdLst>
                              <a:gd name="gd0" fmla="val 65536"/>
                              <a:gd name="gd1" fmla="val 0"/>
                              <a:gd name="gd2" fmla="val 0"/>
                              <a:gd name="gd3" fmla="val 0"/>
                              <a:gd name="gd4" fmla="val 68142"/>
                              <a:gd name="gd5" fmla="+- gd3 100000 0"/>
                              <a:gd name="gd6" fmla="+- gd4 0 0"/>
                              <a:gd name="gd7" fmla="val 100000"/>
                              <a:gd name="gd8" fmla="val 99993"/>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a:off x="1197388" y="1791245"/>
                            <a:ext cx="701233" cy="467785"/>
                          </a:xfrm>
                          <a:custGeom>
                            <a:avLst>
                              <a:gd name="adj0" fmla="val 0"/>
                              <a:gd name="adj1" fmla="val 0"/>
                              <a:gd name="adj2" fmla="val 0"/>
                            </a:avLst>
                            <a:gdLst>
                              <a:gd name="gd0" fmla="val 65536"/>
                              <a:gd name="gd1" fmla="val 0"/>
                              <a:gd name="gd2" fmla="val 0"/>
                              <a:gd name="gd3" fmla="val 0"/>
                              <a:gd name="gd4" fmla="val 68147"/>
                              <a:gd name="gd5" fmla="+- gd3 100000 0"/>
                              <a:gd name="gd6" fmla="+- gd4 0 0"/>
                              <a:gd name="gd7" fmla="val 100000"/>
                              <a:gd name="gd8" fmla="val 99997"/>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496153" y="1791245"/>
                            <a:ext cx="701233" cy="477285"/>
                          </a:xfrm>
                          <a:custGeom>
                            <a:avLst>
                              <a:gd name="adj0" fmla="val 0"/>
                              <a:gd name="adj1" fmla="val 0"/>
                              <a:gd name="adj2" fmla="val 0"/>
                            </a:avLst>
                            <a:gdLst>
                              <a:gd name="gd0" fmla="val 65536"/>
                              <a:gd name="gd1" fmla="val 100000"/>
                              <a:gd name="gd2" fmla="val 0"/>
                              <a:gd name="gd3" fmla="+- gd1 0 0"/>
                              <a:gd name="gd4" fmla="+- gd2 68144 0"/>
                              <a:gd name="gd5" fmla="val 0"/>
                              <a:gd name="gd6" fmla="val 68144"/>
                              <a:gd name="gd7" fmla="val 0"/>
                              <a:gd name="gd8" fmla="val 99998"/>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1197388" y="728777"/>
                            <a:ext cx="1287979" cy="333689"/>
                          </a:xfrm>
                          <a:custGeom>
                            <a:avLst>
                              <a:gd name="adj0" fmla="val 0"/>
                              <a:gd name="adj1" fmla="val 0"/>
                              <a:gd name="adj2" fmla="val 0"/>
                            </a:avLst>
                            <a:gdLst>
                              <a:gd name="gd0" fmla="val 65536"/>
                              <a:gd name="gd1" fmla="val 100000"/>
                              <a:gd name="gd2" fmla="val 0"/>
                              <a:gd name="gd3" fmla="+- gd1 0 0"/>
                              <a:gd name="gd4" fmla="+- gd2 68146 0"/>
                              <a:gd name="gd5" fmla="val 0"/>
                              <a:gd name="gd6" fmla="val 68146"/>
                              <a:gd name="gd7" fmla="val 0"/>
                              <a:gd name="gd8" fmla="val 99995"/>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flipH="0" flipV="0">
                            <a:off x="2039110" y="0"/>
                            <a:ext cx="1318798" cy="834395"/>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9"/>
                              <a:gd name="gd13" fmla="+- gd11 0 0"/>
                              <a:gd name="gd14" fmla="+- gd12 0 0"/>
                              <a:gd name="gd15" fmla="val 6350"/>
                              <a:gd name="gd16" fmla="val 0"/>
                              <a:gd name="gd17" fmla="+- gd15 0 0"/>
                              <a:gd name="gd18" fmla="+- gd16 0 0"/>
                              <a:gd name="gd19" fmla="+- gd15 0 0"/>
                              <a:gd name="gd20" fmla="+- gd16 0 0"/>
                              <a:gd name="gd21" fmla="+- gd15 0 0"/>
                              <a:gd name="gd22" fmla="+- gd16 0 0"/>
                              <a:gd name="gd23" fmla="val gd21"/>
                              <a:gd name="gd24" fmla="val gd22"/>
                              <a:gd name="gd25" fmla="val 93648"/>
                              <a:gd name="gd26" fmla="val 0"/>
                              <a:gd name="gd27" fmla="+- gd25 0 0"/>
                              <a:gd name="gd28" fmla="+- gd26 0 0"/>
                              <a:gd name="gd29" fmla="val 99998"/>
                              <a:gd name="gd30" fmla="val 9999"/>
                              <a:gd name="gd31" fmla="+- gd29 0 0"/>
                              <a:gd name="gd32" fmla="+- gd30 0 0"/>
                              <a:gd name="gd33" fmla="val 99998"/>
                              <a:gd name="gd34" fmla="val 9999"/>
                              <a:gd name="gd35" fmla="+- gd33 2 0"/>
                              <a:gd name="gd36" fmla="+- gd34 80002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2866 0"/>
                              <a:gd name="gd52" fmla="+- gd48 9999 0"/>
                              <a:gd name="gd53" fmla="+- gd47 -6350 0"/>
                              <a:gd name="gd54" fmla="+- gd48 9999 0"/>
                              <a:gd name="gd55" fmla="val gd53"/>
                              <a:gd name="gd56" fmla="val gd54"/>
                              <a:gd name="gd57" fmla="val 93650"/>
                              <a:gd name="gd58" fmla="val 100000"/>
                              <a:gd name="gd59" fmla="+- gd57 -87300 0"/>
                              <a:gd name="gd60" fmla="+- gd58 0 0"/>
                              <a:gd name="gd61" fmla="val 6350"/>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858 100000"/>
                              <a:gd name="gd74" fmla="*/ h 2927 100000"/>
                              <a:gd name="gd75" fmla="*/ w 98138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4"/>
                                  <a:pt x="2866" y="0"/>
                                  <a:pt x="6350" y="0"/>
                                </a:cubicBezTo>
                                <a:cubicBezTo>
                                  <a:pt x="gd17" y="gd18"/>
                                  <a:pt x="gd19" y="gd20"/>
                                  <a:pt x="gd21" y="gd22"/>
                                </a:cubicBezTo>
                                <a:lnTo>
                                  <a:pt x="gd25" y="gd26"/>
                                </a:lnTo>
                                <a:lnTo>
                                  <a:pt x="gd27" y="gd28"/>
                                </a:lnTo>
                                <a:cubicBezTo>
                                  <a:pt x="97131" y="0"/>
                                  <a:pt x="99998" y="4514"/>
                                  <a:pt x="99998" y="9999"/>
                                </a:cubicBezTo>
                                <a:lnTo>
                                  <a:pt x="gd31" y="gd32"/>
                                </a:lnTo>
                                <a:cubicBezTo>
                                  <a:pt x="99998" y="9999"/>
                                  <a:pt x="99998" y="9999"/>
                                  <a:pt x="99998" y="9999"/>
                                </a:cubicBezTo>
                                <a:lnTo>
                                  <a:pt x="gd35" y="gd36"/>
                                </a:lnTo>
                                <a:lnTo>
                                  <a:pt x="gd37" y="gd38"/>
                                </a:lnTo>
                                <a:cubicBezTo>
                                  <a:pt x="gd39" y="gd40"/>
                                  <a:pt x="gd41" y="gd42"/>
                                  <a:pt x="gd43" y="gd44"/>
                                </a:cubicBezTo>
                                <a:lnTo>
                                  <a:pt x="gd47" y="gd48"/>
                                </a:lnTo>
                                <a:cubicBezTo>
                                  <a:pt x="gd49" y="gd50"/>
                                  <a:pt x="gd51" y="gd52"/>
                                  <a:pt x="gd53" y="gd54"/>
                                </a:cubicBezTo>
                                <a:cubicBezTo>
                                  <a:pt x="93650" y="100000"/>
                                  <a:pt x="93650" y="100000"/>
                                  <a:pt x="93650" y="100000"/>
                                </a:cubicBezTo>
                                <a:lnTo>
                                  <a:pt x="gd59" y="gd60"/>
                                </a:lnTo>
                                <a:lnTo>
                                  <a:pt x="gd61" y="gd62"/>
                                </a:lnTo>
                                <a:cubicBezTo>
                                  <a:pt x="2866"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2060458" y="17112"/>
                            <a:ext cx="1255117" cy="800170"/>
                          </a:xfrm>
                          <a:prstGeom prst="rect">
                            <a:avLst/>
                          </a:prstGeom>
                          <a:noFill/>
                          <a:ln w="12700">
                            <a:solidFill>
                              <a:schemeClr val="accent1"/>
                            </a:solidFill>
                            <a:prstDash val="solid"/>
                            <a:miter/>
                          </a:ln>
                        </wps:spPr>
                        <wps:txbx>
                          <w:txbxContent>
                            <w:p>
                              <w:r>
                                <w:rPr>
                                  <w:sz w:val="21"/>
                                  <w:szCs w:val="21"/>
                                </w:rPr>
                                <w:t xml:space="preserve">Уважайте государственные праздники России</w:t>
                              </w:r>
                              <w:r/>
                            </w:p>
                          </w:txbxContent>
                        </wps:txbx>
                        <wps:bodyPr wrap="square" anchor="ctr"/>
                      </wps:wsp>
                      <wps:wsp>
                        <wps:cNvSpPr/>
                        <wps:spPr bwMode="auto">
                          <a:xfrm>
                            <a:off x="543349" y="1183614"/>
                            <a:ext cx="1605550" cy="728677"/>
                          </a:xfrm>
                          <a:custGeom>
                            <a:avLst>
                              <a:gd name="adj0" fmla="val 108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7"/>
                              <a:gd name="gd13" fmla="+- gd11 0 0"/>
                              <a:gd name="gd14" fmla="+- gd12 0 0"/>
                              <a:gd name="gd15" fmla="val 4537"/>
                              <a:gd name="gd16" fmla="val 0"/>
                              <a:gd name="gd17" fmla="+- gd15 0 0"/>
                              <a:gd name="gd18" fmla="+- gd16 0 0"/>
                              <a:gd name="gd19" fmla="+- gd15 0 0"/>
                              <a:gd name="gd20" fmla="+- gd16 0 0"/>
                              <a:gd name="gd21" fmla="+- gd15 0 0"/>
                              <a:gd name="gd22" fmla="+- gd16 0 0"/>
                              <a:gd name="gd23" fmla="val gd21"/>
                              <a:gd name="gd24" fmla="val gd22"/>
                              <a:gd name="gd25" fmla="val 95461"/>
                              <a:gd name="gd26" fmla="val 0"/>
                              <a:gd name="gd27" fmla="+- gd25 0 0"/>
                              <a:gd name="gd28" fmla="+- gd26 0 0"/>
                              <a:gd name="gd29" fmla="val 99998"/>
                              <a:gd name="gd30" fmla="val 9997"/>
                              <a:gd name="gd31" fmla="+- gd29 0 0"/>
                              <a:gd name="gd32" fmla="+- gd30 0 0"/>
                              <a:gd name="gd33" fmla="val 99998"/>
                              <a:gd name="gd34" fmla="val 9997"/>
                              <a:gd name="gd35" fmla="+- gd33 2 0"/>
                              <a:gd name="gd36" fmla="+- gd34 80002 0"/>
                              <a:gd name="gd37" fmla="val 100000"/>
                              <a:gd name="gd38" fmla="val 89999"/>
                              <a:gd name="gd39" fmla="+- gd37 0 0"/>
                              <a:gd name="gd40" fmla="+- gd38 0 0"/>
                              <a:gd name="gd41" fmla="+- gd37 0 0"/>
                              <a:gd name="gd42" fmla="+- gd38 0 0"/>
                              <a:gd name="gd43" fmla="+- gd37 0 0"/>
                              <a:gd name="gd44" fmla="+- gd38 0 0"/>
                              <a:gd name="gd45" fmla="val gd43"/>
                              <a:gd name="gd46" fmla="val gd44"/>
                              <a:gd name="gd47" fmla="val 100000"/>
                              <a:gd name="gd48" fmla="val 89999"/>
                              <a:gd name="gd49" fmla="+- gd47 0 0"/>
                              <a:gd name="gd50" fmla="+- gd48 5484 0"/>
                              <a:gd name="gd51" fmla="+- gd47 -2048 0"/>
                              <a:gd name="gd52" fmla="+- gd48 9997 0"/>
                              <a:gd name="gd53" fmla="+- gd47 -4537 0"/>
                              <a:gd name="gd54" fmla="+- gd48 9997 0"/>
                              <a:gd name="gd55" fmla="val gd53"/>
                              <a:gd name="gd56" fmla="val gd54"/>
                              <a:gd name="gd57" fmla="val 95463"/>
                              <a:gd name="gd58" fmla="val 99996"/>
                              <a:gd name="gd59" fmla="+- gd57 -90926 0"/>
                              <a:gd name="gd60" fmla="+- gd58 5 0"/>
                              <a:gd name="gd61" fmla="val 4537"/>
                              <a:gd name="gd62" fmla="val 100001"/>
                              <a:gd name="gd63" fmla="val 0"/>
                              <a:gd name="gd64" fmla="val 90004"/>
                              <a:gd name="gd65" fmla="+- gd63 0 0"/>
                              <a:gd name="gd66" fmla="+- gd64 0 0"/>
                              <a:gd name="gd67" fmla="+- gd63 0 0"/>
                              <a:gd name="gd68" fmla="+- gd64 0 0"/>
                              <a:gd name="gd69" fmla="+- gd63 0 0"/>
                              <a:gd name="gd70" fmla="+- gd64 0 0"/>
                              <a:gd name="gd71" fmla="val gd69"/>
                              <a:gd name="gd72" fmla="val gd70"/>
                              <a:gd name="gd73" fmla="*/ w 1328 100000"/>
                              <a:gd name="gd74" fmla="*/ h 2927 100000"/>
                              <a:gd name="gd75" fmla="*/ w 98668 100000"/>
                              <a:gd name="gd76" fmla="*/ h 97068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2048" y="0"/>
                                  <a:pt x="4537" y="0"/>
                                </a:cubicBezTo>
                                <a:cubicBezTo>
                                  <a:pt x="gd17" y="gd18"/>
                                  <a:pt x="gd19" y="gd20"/>
                                  <a:pt x="gd21" y="gd22"/>
                                </a:cubicBezTo>
                                <a:lnTo>
                                  <a:pt x="gd25" y="gd26"/>
                                </a:lnTo>
                                <a:lnTo>
                                  <a:pt x="gd27" y="gd28"/>
                                </a:lnTo>
                                <a:cubicBezTo>
                                  <a:pt x="97950" y="0"/>
                                  <a:pt x="99998" y="4513"/>
                                  <a:pt x="99998" y="9997"/>
                                </a:cubicBezTo>
                                <a:lnTo>
                                  <a:pt x="gd31" y="gd32"/>
                                </a:lnTo>
                                <a:cubicBezTo>
                                  <a:pt x="99998" y="9997"/>
                                  <a:pt x="99998" y="9997"/>
                                  <a:pt x="99998" y="9997"/>
                                </a:cubicBezTo>
                                <a:lnTo>
                                  <a:pt x="gd35" y="gd36"/>
                                </a:lnTo>
                                <a:lnTo>
                                  <a:pt x="gd37" y="gd38"/>
                                </a:lnTo>
                                <a:cubicBezTo>
                                  <a:pt x="gd39" y="gd40"/>
                                  <a:pt x="gd41" y="gd42"/>
                                  <a:pt x="gd43" y="gd44"/>
                                </a:cubicBezTo>
                                <a:lnTo>
                                  <a:pt x="gd47" y="gd48"/>
                                </a:lnTo>
                                <a:cubicBezTo>
                                  <a:pt x="gd49" y="gd50"/>
                                  <a:pt x="gd51" y="gd52"/>
                                  <a:pt x="gd53" y="gd54"/>
                                </a:cubicBezTo>
                                <a:cubicBezTo>
                                  <a:pt x="95463" y="99996"/>
                                  <a:pt x="95463" y="99996"/>
                                  <a:pt x="95463" y="99996"/>
                                </a:cubicBezTo>
                                <a:lnTo>
                                  <a:pt x="gd59" y="gd60"/>
                                </a:lnTo>
                                <a:lnTo>
                                  <a:pt x="gd61" y="gd62"/>
                                </a:lnTo>
                                <a:cubicBezTo>
                                  <a:pt x="2048" y="100001"/>
                                  <a:pt x="0" y="95488"/>
                                  <a:pt x="0" y="90004"/>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564697" y="1204963"/>
                            <a:ext cx="1562854" cy="685978"/>
                          </a:xfrm>
                          <a:prstGeom prst="rect">
                            <a:avLst/>
                          </a:prstGeom>
                          <a:noFill/>
                          <a:ln w="12700">
                            <a:solidFill>
                              <a:schemeClr val="accent1"/>
                            </a:solidFill>
                            <a:prstDash val="solid"/>
                            <a:miter/>
                          </a:ln>
                        </wps:spPr>
                        <wps:txbx>
                          <w:txbxContent>
                            <w:p>
                              <w:r>
                                <w:rPr>
                                  <w:sz w:val="21"/>
                                  <w:szCs w:val="21"/>
                                </w:rPr>
                                <w:t xml:space="preserve">Не говорите громко в транспорте, отключайте мобильные телефоны при посещении театра</w:t>
                              </w:r>
                              <w:r/>
                            </w:p>
                          </w:txbxContent>
                        </wps:txbx>
                        <wps:bodyPr wrap="square" anchor="ctr"/>
                      </wps:wsp>
                      <wps:wsp>
                        <wps:cNvSpPr/>
                        <wps:spPr bwMode="auto">
                          <a:xfrm flipH="0" flipV="0">
                            <a:off x="0" y="2296030"/>
                            <a:ext cx="1147493" cy="1243614"/>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7398"/>
                              <a:gd name="gd16" fmla="val 0"/>
                              <a:gd name="gd17" fmla="+- gd15 0 0"/>
                              <a:gd name="gd18" fmla="+- gd16 0 0"/>
                              <a:gd name="gd19" fmla="+- gd15 0 0"/>
                              <a:gd name="gd20" fmla="+- gd16 0 0"/>
                              <a:gd name="gd21" fmla="+- gd15 0 0"/>
                              <a:gd name="gd22" fmla="+- gd16 0 0"/>
                              <a:gd name="gd23" fmla="val gd21"/>
                              <a:gd name="gd24" fmla="val gd22"/>
                              <a:gd name="gd25" fmla="val 92600"/>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80002 0"/>
                              <a:gd name="gd37" fmla="val 100000"/>
                              <a:gd name="gd38" fmla="val 90000"/>
                              <a:gd name="gd39" fmla="+- gd37 0 0"/>
                              <a:gd name="gd40" fmla="+- gd38 0 0"/>
                              <a:gd name="gd41" fmla="+- gd37 0 0"/>
                              <a:gd name="gd42" fmla="+- gd38 0 0"/>
                              <a:gd name="gd43" fmla="+- gd37 0 0"/>
                              <a:gd name="gd44" fmla="+- gd38 0 0"/>
                              <a:gd name="gd45" fmla="val gd43"/>
                              <a:gd name="gd46" fmla="val gd44"/>
                              <a:gd name="gd47" fmla="val 100000"/>
                              <a:gd name="gd48" fmla="val 90000"/>
                              <a:gd name="gd49" fmla="+- gd47 0 0"/>
                              <a:gd name="gd50" fmla="+- gd48 5485 0"/>
                              <a:gd name="gd51" fmla="+- gd47 -3340 0"/>
                              <a:gd name="gd52" fmla="+- gd48 9999 0"/>
                              <a:gd name="gd53" fmla="+- gd47 -7398 0"/>
                              <a:gd name="gd54" fmla="+- gd48 9999 0"/>
                              <a:gd name="gd55" fmla="val gd53"/>
                              <a:gd name="gd56" fmla="val gd54"/>
                              <a:gd name="gd57" fmla="val 92602"/>
                              <a:gd name="gd58" fmla="val 99999"/>
                              <a:gd name="gd59" fmla="+- gd57 -85204 0"/>
                              <a:gd name="gd60" fmla="+- gd58 0 0"/>
                              <a:gd name="gd61" fmla="val 7398"/>
                              <a:gd name="gd62" fmla="val 99999"/>
                              <a:gd name="gd63" fmla="val 0"/>
                              <a:gd name="gd64" fmla="val 90000"/>
                              <a:gd name="gd65" fmla="+- gd63 0 0"/>
                              <a:gd name="gd66" fmla="+- gd64 0 0"/>
                              <a:gd name="gd67" fmla="+- gd63 0 0"/>
                              <a:gd name="gd68" fmla="+- gd64 0 0"/>
                              <a:gd name="gd69" fmla="+- gd63 0 0"/>
                              <a:gd name="gd70" fmla="+- gd64 0 0"/>
                              <a:gd name="gd71" fmla="val gd69"/>
                              <a:gd name="gd72" fmla="val gd70"/>
                              <a:gd name="gd73" fmla="*/ w 2166 100000"/>
                              <a:gd name="gd74" fmla="*/ h 2928 100000"/>
                              <a:gd name="gd75" fmla="*/ w 97831 100000"/>
                              <a:gd name="gd76" fmla="*/ h 97070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3340" y="0"/>
                                  <a:pt x="7398" y="0"/>
                                </a:cubicBezTo>
                                <a:cubicBezTo>
                                  <a:pt x="gd17" y="gd18"/>
                                  <a:pt x="gd19" y="gd20"/>
                                  <a:pt x="gd21" y="gd22"/>
                                </a:cubicBezTo>
                                <a:lnTo>
                                  <a:pt x="gd25" y="gd26"/>
                                </a:lnTo>
                                <a:lnTo>
                                  <a:pt x="gd27" y="gd28"/>
                                </a:lnTo>
                                <a:cubicBezTo>
                                  <a:pt x="96658"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2602" y="99999"/>
                                  <a:pt x="92602" y="99999"/>
                                  <a:pt x="92602" y="99999"/>
                                </a:cubicBezTo>
                                <a:lnTo>
                                  <a:pt x="gd59" y="gd60"/>
                                </a:lnTo>
                                <a:lnTo>
                                  <a:pt x="gd61" y="gd62"/>
                                </a:lnTo>
                                <a:cubicBezTo>
                                  <a:pt x="3340" y="99999"/>
                                  <a:pt x="0" y="95485"/>
                                  <a:pt x="0" y="90000"/>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g:grpSp>
                        <wpg:cNvGrpSpPr/>
                        <wpg:grpSpPr bwMode="auto">
                          <a:xfrm>
                            <a:off x="99" y="2296030"/>
                            <a:ext cx="1147493" cy="1224414"/>
                            <a:chOff x="0" y="0"/>
                            <a:chExt cx="1147493" cy="1224414"/>
                          </a:xfrm>
                        </wpg:grpSpPr>
                        <wps:wsp>
                          <wps:cNvSpPr/>
                          <wps:spPr bwMode="auto">
                            <a:xfrm flipH="0" flipV="0">
                              <a:off x="0" y="0"/>
                              <a:ext cx="1147493" cy="1224414"/>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035"/>
                                <a:gd name="gd13" fmla="+- gd11 0 0"/>
                                <a:gd name="gd14" fmla="+- gd12 0 0"/>
                                <a:gd name="gd15" fmla="val 10000"/>
                                <a:gd name="gd16" fmla="val 0"/>
                                <a:gd name="gd17" fmla="+- gd15 0 0"/>
                                <a:gd name="gd18" fmla="+- gd16 0 0"/>
                                <a:gd name="gd19" fmla="+- gd15 0 0"/>
                                <a:gd name="gd20" fmla="+- gd16 0 0"/>
                                <a:gd name="gd21" fmla="+- gd15 0 0"/>
                                <a:gd name="gd22" fmla="+- gd16 0 0"/>
                                <a:gd name="gd23" fmla="val gd21"/>
                                <a:gd name="gd24" fmla="val gd22"/>
                                <a:gd name="gd25" fmla="val 90001"/>
                                <a:gd name="gd26" fmla="val 0"/>
                                <a:gd name="gd27" fmla="+- gd25 0 0"/>
                                <a:gd name="gd28" fmla="+- gd26 0 0"/>
                                <a:gd name="gd29" fmla="val 100001"/>
                                <a:gd name="gd30" fmla="val 9035"/>
                                <a:gd name="gd31" fmla="+- gd29 0 0"/>
                                <a:gd name="gd32" fmla="+- gd30 0 0"/>
                                <a:gd name="gd33" fmla="val 100001"/>
                                <a:gd name="gd34" fmla="val 9035"/>
                                <a:gd name="gd35" fmla="+- gd33 0 0"/>
                                <a:gd name="gd36" fmla="+- gd34 81928 0"/>
                                <a:gd name="gd37" fmla="val 100001"/>
                                <a:gd name="gd38" fmla="val 90963"/>
                                <a:gd name="gd39" fmla="+- gd37 0 0"/>
                                <a:gd name="gd40" fmla="+- gd38 0 0"/>
                                <a:gd name="gd41" fmla="+- gd37 0 0"/>
                                <a:gd name="gd42" fmla="+- gd38 0 0"/>
                                <a:gd name="gd43" fmla="+- gd37 0 0"/>
                                <a:gd name="gd44" fmla="+- gd38 0 0"/>
                                <a:gd name="gd45" fmla="val gd43"/>
                                <a:gd name="gd46" fmla="val gd44"/>
                                <a:gd name="gd47" fmla="val 100001"/>
                                <a:gd name="gd48" fmla="val 90963"/>
                                <a:gd name="gd49" fmla="+- gd47 0 0"/>
                                <a:gd name="gd50" fmla="+- gd48 4956 0"/>
                                <a:gd name="gd51" fmla="+- gd47 -4514 0"/>
                                <a:gd name="gd52" fmla="+- gd48 9035 0"/>
                                <a:gd name="gd53" fmla="+- gd47 -10000 0"/>
                                <a:gd name="gd54" fmla="+- gd48 9035 0"/>
                                <a:gd name="gd55" fmla="val gd53"/>
                                <a:gd name="gd56" fmla="val gd54"/>
                                <a:gd name="gd57" fmla="val 90001"/>
                                <a:gd name="gd58" fmla="val 99998"/>
                                <a:gd name="gd59" fmla="+- gd57 -80001 0"/>
                                <a:gd name="gd60" fmla="+- gd58 2 0"/>
                                <a:gd name="gd61" fmla="val 10000"/>
                                <a:gd name="gd62" fmla="val 100000"/>
                                <a:gd name="gd63" fmla="val 0"/>
                                <a:gd name="gd64" fmla="val 90965"/>
                                <a:gd name="gd65" fmla="+- gd63 0 0"/>
                                <a:gd name="gd66" fmla="+- gd64 0 0"/>
                                <a:gd name="gd67" fmla="+- gd63 0 0"/>
                                <a:gd name="gd68" fmla="+- gd64 0 0"/>
                                <a:gd name="gd69" fmla="+- gd63 0 0"/>
                                <a:gd name="gd70" fmla="+- gd64 0 0"/>
                                <a:gd name="gd71" fmla="val gd69"/>
                                <a:gd name="gd72" fmla="val gd70"/>
                                <a:gd name="gd73" fmla="*/ w 2928 100000"/>
                                <a:gd name="gd74" fmla="*/ h 2645 100000"/>
                                <a:gd name="gd75" fmla="*/ w 97069 100000"/>
                                <a:gd name="gd76" fmla="*/ h 97351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078"/>
                                    <a:pt x="4514" y="0"/>
                                    <a:pt x="10000" y="0"/>
                                  </a:cubicBezTo>
                                  <a:cubicBezTo>
                                    <a:pt x="gd17" y="gd18"/>
                                    <a:pt x="gd19" y="gd20"/>
                                    <a:pt x="gd21" y="gd22"/>
                                  </a:cubicBezTo>
                                  <a:lnTo>
                                    <a:pt x="gd25" y="gd26"/>
                                  </a:lnTo>
                                  <a:lnTo>
                                    <a:pt x="gd27" y="gd28"/>
                                  </a:lnTo>
                                  <a:cubicBezTo>
                                    <a:pt x="95487" y="0"/>
                                    <a:pt x="100001" y="4078"/>
                                    <a:pt x="100001" y="9035"/>
                                  </a:cubicBezTo>
                                  <a:lnTo>
                                    <a:pt x="gd31" y="gd32"/>
                                  </a:lnTo>
                                  <a:cubicBezTo>
                                    <a:pt x="100001" y="9035"/>
                                    <a:pt x="100001" y="9035"/>
                                    <a:pt x="100001" y="9035"/>
                                  </a:cubicBezTo>
                                  <a:lnTo>
                                    <a:pt x="gd35" y="gd36"/>
                                  </a:lnTo>
                                  <a:lnTo>
                                    <a:pt x="gd37" y="gd38"/>
                                  </a:lnTo>
                                  <a:cubicBezTo>
                                    <a:pt x="gd39" y="gd40"/>
                                    <a:pt x="gd41" y="gd42"/>
                                    <a:pt x="gd43" y="gd44"/>
                                  </a:cubicBezTo>
                                  <a:lnTo>
                                    <a:pt x="gd47" y="gd48"/>
                                  </a:lnTo>
                                  <a:cubicBezTo>
                                    <a:pt x="gd49" y="gd50"/>
                                    <a:pt x="gd51" y="gd52"/>
                                    <a:pt x="gd53" y="gd54"/>
                                  </a:cubicBezTo>
                                  <a:cubicBezTo>
                                    <a:pt x="90001" y="99998"/>
                                    <a:pt x="90001" y="99998"/>
                                    <a:pt x="90001" y="99998"/>
                                  </a:cubicBezTo>
                                  <a:lnTo>
                                    <a:pt x="gd59" y="gd60"/>
                                  </a:lnTo>
                                  <a:lnTo>
                                    <a:pt x="gd61" y="gd62"/>
                                  </a:lnTo>
                                  <a:cubicBezTo>
                                    <a:pt x="4514" y="100000"/>
                                    <a:pt x="0" y="95922"/>
                                    <a:pt x="0" y="90965"/>
                                  </a:cubicBezTo>
                                  <a:cubicBezTo>
                                    <a:pt x="gd65" y="gd66"/>
                                    <a:pt x="gd67" y="gd68"/>
                                    <a:pt x="gd69" y="gd70"/>
                                  </a:cubicBezTo>
                                  <a:close/>
                                </a:path>
                                <a:path w="100000" h="100000" fill="norm" stroke="1" extrusionOk="0"/>
                              </a:pathLst>
                            </a:custGeom>
                            <a:solidFill>
                              <a:srgbClr val="FFFFFF">
                                <a:alpha val="10588"/>
                              </a:srgbClr>
                            </a:solidFill>
                            <a:ln w="25400">
                              <a:solidFill>
                                <a:srgbClr val="4C83BA"/>
                              </a:solidFill>
                            </a:ln>
                          </wps:spPr>
                          <wps:txbx>
                            <w:txbxContent>
                              <w:p>
                                <w:pPr>
                                  <w:jc w:val="center"/>
                                </w:pPr>
                                <w:r/>
                                <w:r/>
                              </w:p>
                            </w:txbxContent>
                          </wps:txbx>
                          <wps:bodyPr wrap="square" anchor="ctr"/>
                        </wps:wsp>
                        <wps:wsp>
                          <wps:cNvSpPr/>
                          <wps:spPr bwMode="auto">
                            <a:xfrm flipH="0" flipV="0">
                              <a:off x="49695" y="5972"/>
                              <a:ext cx="1032697" cy="1218441"/>
                            </a:xfrm>
                            <a:prstGeom prst="rect">
                              <a:avLst/>
                            </a:prstGeom>
                            <a:noFill/>
                            <a:ln w="12700">
                              <a:solidFill>
                                <a:schemeClr val="accent1"/>
                              </a:solidFill>
                              <a:prstDash val="solid"/>
                              <a:miter/>
                            </a:ln>
                          </wps:spPr>
                          <wps:txbx>
                            <w:txbxContent>
                              <w:p>
                                <w:r>
                                  <w:rPr>
                                    <w:sz w:val="21"/>
                                    <w:szCs w:val="21"/>
                                  </w:rPr>
                                  <w:t xml:space="preserve">Не распивайте спиртные напитки и не курите в общественных местах</w:t>
                                </w:r>
                                <w:r/>
                              </w:p>
                            </w:txbxContent>
                          </wps:txbx>
                          <wps:bodyPr wrap="square" anchor="ctr"/>
                        </wps:wsp>
                      </wpg:grpSp>
                      <wps:wsp>
                        <wps:cNvSpPr/>
                        <wps:spPr bwMode="auto">
                          <a:xfrm flipH="0" flipV="0">
                            <a:off x="1431066" y="2296030"/>
                            <a:ext cx="1147493" cy="1138689"/>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9"/>
                              <a:gd name="gd13" fmla="+- gd11 0 0"/>
                              <a:gd name="gd14" fmla="+- gd12 0 0"/>
                              <a:gd name="gd15" fmla="val 6350"/>
                              <a:gd name="gd16" fmla="val 0"/>
                              <a:gd name="gd17" fmla="+- gd15 0 0"/>
                              <a:gd name="gd18" fmla="+- gd16 0 0"/>
                              <a:gd name="gd19" fmla="+- gd15 0 0"/>
                              <a:gd name="gd20" fmla="+- gd16 0 0"/>
                              <a:gd name="gd21" fmla="+- gd15 0 0"/>
                              <a:gd name="gd22" fmla="+- gd16 0 0"/>
                              <a:gd name="gd23" fmla="val gd21"/>
                              <a:gd name="gd24" fmla="val gd22"/>
                              <a:gd name="gd25" fmla="val 93648"/>
                              <a:gd name="gd26" fmla="val 0"/>
                              <a:gd name="gd27" fmla="+- gd25 0 0"/>
                              <a:gd name="gd28" fmla="+- gd26 0 0"/>
                              <a:gd name="gd29" fmla="val 99998"/>
                              <a:gd name="gd30" fmla="val 9999"/>
                              <a:gd name="gd31" fmla="+- gd29 0 0"/>
                              <a:gd name="gd32" fmla="+- gd30 0 0"/>
                              <a:gd name="gd33" fmla="val 99998"/>
                              <a:gd name="gd34" fmla="val 9999"/>
                              <a:gd name="gd35" fmla="+- gd33 2 0"/>
                              <a:gd name="gd36" fmla="+- gd34 80002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2866 0"/>
                              <a:gd name="gd52" fmla="+- gd48 9999 0"/>
                              <a:gd name="gd53" fmla="+- gd47 -6350 0"/>
                              <a:gd name="gd54" fmla="+- gd48 9999 0"/>
                              <a:gd name="gd55" fmla="val gd53"/>
                              <a:gd name="gd56" fmla="val gd54"/>
                              <a:gd name="gd57" fmla="val 93650"/>
                              <a:gd name="gd58" fmla="val 100000"/>
                              <a:gd name="gd59" fmla="+- gd57 -87300 0"/>
                              <a:gd name="gd60" fmla="+- gd58 0 0"/>
                              <a:gd name="gd61" fmla="val 6350"/>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858 100000"/>
                              <a:gd name="gd74" fmla="*/ h 2927 100000"/>
                              <a:gd name="gd75" fmla="*/ w 98138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4"/>
                                  <a:pt x="2866" y="0"/>
                                  <a:pt x="6350" y="0"/>
                                </a:cubicBezTo>
                                <a:cubicBezTo>
                                  <a:pt x="gd17" y="gd18"/>
                                  <a:pt x="gd19" y="gd20"/>
                                  <a:pt x="gd21" y="gd22"/>
                                </a:cubicBezTo>
                                <a:lnTo>
                                  <a:pt x="gd25" y="gd26"/>
                                </a:lnTo>
                                <a:lnTo>
                                  <a:pt x="gd27" y="gd28"/>
                                </a:lnTo>
                                <a:cubicBezTo>
                                  <a:pt x="97131" y="0"/>
                                  <a:pt x="99998" y="4514"/>
                                  <a:pt x="99998" y="9999"/>
                                </a:cubicBezTo>
                                <a:lnTo>
                                  <a:pt x="gd31" y="gd32"/>
                                </a:lnTo>
                                <a:cubicBezTo>
                                  <a:pt x="99998" y="9999"/>
                                  <a:pt x="99998" y="9999"/>
                                  <a:pt x="99998" y="9999"/>
                                </a:cubicBezTo>
                                <a:lnTo>
                                  <a:pt x="gd35" y="gd36"/>
                                </a:lnTo>
                                <a:lnTo>
                                  <a:pt x="gd37" y="gd38"/>
                                </a:lnTo>
                                <a:cubicBezTo>
                                  <a:pt x="gd39" y="gd40"/>
                                  <a:pt x="gd41" y="gd42"/>
                                  <a:pt x="gd43" y="gd44"/>
                                </a:cubicBezTo>
                                <a:lnTo>
                                  <a:pt x="gd47" y="gd48"/>
                                </a:lnTo>
                                <a:cubicBezTo>
                                  <a:pt x="gd49" y="gd50"/>
                                  <a:pt x="gd51" y="gd52"/>
                                  <a:pt x="gd53" y="gd54"/>
                                </a:cubicBezTo>
                                <a:cubicBezTo>
                                  <a:pt x="93650" y="100000"/>
                                  <a:pt x="93650" y="100000"/>
                                  <a:pt x="93650" y="100000"/>
                                </a:cubicBezTo>
                                <a:lnTo>
                                  <a:pt x="gd59" y="gd60"/>
                                </a:lnTo>
                                <a:lnTo>
                                  <a:pt x="gd61" y="gd62"/>
                                </a:lnTo>
                                <a:cubicBezTo>
                                  <a:pt x="2866"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1464906" y="2365503"/>
                            <a:ext cx="1079812" cy="1015392"/>
                          </a:xfrm>
                          <a:prstGeom prst="rect">
                            <a:avLst/>
                          </a:prstGeom>
                          <a:noFill/>
                          <a:ln w="12700">
                            <a:solidFill>
                              <a:schemeClr val="accent1"/>
                            </a:solidFill>
                            <a:prstDash val="solid"/>
                            <a:miter/>
                          </a:ln>
                        </wps:spPr>
                        <wps:txbx>
                          <w:txbxContent>
                            <w:p>
                              <w:r>
                                <w:rPr>
                                  <w:sz w:val="21"/>
                                  <w:szCs w:val="21"/>
                                </w:rPr>
                                <w:t xml:space="preserve">Не обращайтесь к малознакомому человеку на «ты»</w:t>
                              </w:r>
                              <w:r/>
                            </w:p>
                          </w:txbxContent>
                        </wps:txbx>
                        <wps:bodyPr wrap="square" anchor="ctr"/>
                      </wps:wsp>
                      <wps:wsp>
                        <wps:cNvSpPr/>
                        <wps:spPr bwMode="auto">
                          <a:xfrm flipH="0" flipV="0">
                            <a:off x="3088612" y="1093116"/>
                            <a:ext cx="1982079" cy="728677"/>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9"/>
                              <a:gd name="gd13" fmla="+- gd11 0 0"/>
                              <a:gd name="gd14" fmla="+- gd12 0 0"/>
                              <a:gd name="gd15" fmla="val 6350"/>
                              <a:gd name="gd16" fmla="val 0"/>
                              <a:gd name="gd17" fmla="+- gd15 0 0"/>
                              <a:gd name="gd18" fmla="+- gd16 0 0"/>
                              <a:gd name="gd19" fmla="+- gd15 0 0"/>
                              <a:gd name="gd20" fmla="+- gd16 0 0"/>
                              <a:gd name="gd21" fmla="+- gd15 0 0"/>
                              <a:gd name="gd22" fmla="+- gd16 0 0"/>
                              <a:gd name="gd23" fmla="val gd21"/>
                              <a:gd name="gd24" fmla="val gd22"/>
                              <a:gd name="gd25" fmla="val 93648"/>
                              <a:gd name="gd26" fmla="val 0"/>
                              <a:gd name="gd27" fmla="+- gd25 0 0"/>
                              <a:gd name="gd28" fmla="+- gd26 0 0"/>
                              <a:gd name="gd29" fmla="val 99998"/>
                              <a:gd name="gd30" fmla="val 9999"/>
                              <a:gd name="gd31" fmla="+- gd29 0 0"/>
                              <a:gd name="gd32" fmla="+- gd30 0 0"/>
                              <a:gd name="gd33" fmla="val 99998"/>
                              <a:gd name="gd34" fmla="val 9999"/>
                              <a:gd name="gd35" fmla="+- gd33 2 0"/>
                              <a:gd name="gd36" fmla="+- gd34 80002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2866 0"/>
                              <a:gd name="gd52" fmla="+- gd48 9999 0"/>
                              <a:gd name="gd53" fmla="+- gd47 -6350 0"/>
                              <a:gd name="gd54" fmla="+- gd48 9999 0"/>
                              <a:gd name="gd55" fmla="val gd53"/>
                              <a:gd name="gd56" fmla="val gd54"/>
                              <a:gd name="gd57" fmla="val 93650"/>
                              <a:gd name="gd58" fmla="val 100000"/>
                              <a:gd name="gd59" fmla="+- gd57 -87300 0"/>
                              <a:gd name="gd60" fmla="+- gd58 0 0"/>
                              <a:gd name="gd61" fmla="val 6350"/>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858 100000"/>
                              <a:gd name="gd74" fmla="*/ h 2927 100000"/>
                              <a:gd name="gd75" fmla="*/ w 98138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4"/>
                                  <a:pt x="2866" y="0"/>
                                  <a:pt x="6350" y="0"/>
                                </a:cubicBezTo>
                                <a:cubicBezTo>
                                  <a:pt x="gd17" y="gd18"/>
                                  <a:pt x="gd19" y="gd20"/>
                                  <a:pt x="gd21" y="gd22"/>
                                </a:cubicBezTo>
                                <a:lnTo>
                                  <a:pt x="gd25" y="gd26"/>
                                </a:lnTo>
                                <a:lnTo>
                                  <a:pt x="gd27" y="gd28"/>
                                </a:lnTo>
                                <a:cubicBezTo>
                                  <a:pt x="97131" y="0"/>
                                  <a:pt x="99998" y="4514"/>
                                  <a:pt x="99998" y="9999"/>
                                </a:cubicBezTo>
                                <a:lnTo>
                                  <a:pt x="gd31" y="gd32"/>
                                </a:lnTo>
                                <a:cubicBezTo>
                                  <a:pt x="99998" y="9999"/>
                                  <a:pt x="99998" y="9999"/>
                                  <a:pt x="99998" y="9999"/>
                                </a:cubicBezTo>
                                <a:lnTo>
                                  <a:pt x="gd35" y="gd36"/>
                                </a:lnTo>
                                <a:lnTo>
                                  <a:pt x="gd37" y="gd38"/>
                                </a:lnTo>
                                <a:cubicBezTo>
                                  <a:pt x="gd39" y="gd40"/>
                                  <a:pt x="gd41" y="gd42"/>
                                  <a:pt x="gd43" y="gd44"/>
                                </a:cubicBezTo>
                                <a:lnTo>
                                  <a:pt x="gd47" y="gd48"/>
                                </a:lnTo>
                                <a:cubicBezTo>
                                  <a:pt x="gd49" y="gd50"/>
                                  <a:pt x="gd51" y="gd52"/>
                                  <a:pt x="gd53" y="gd54"/>
                                </a:cubicBezTo>
                                <a:cubicBezTo>
                                  <a:pt x="93650" y="100000"/>
                                  <a:pt x="93650" y="100000"/>
                                  <a:pt x="93650" y="100000"/>
                                </a:cubicBezTo>
                                <a:lnTo>
                                  <a:pt x="gd59" y="gd60"/>
                                </a:lnTo>
                                <a:lnTo>
                                  <a:pt x="gd61" y="gd62"/>
                                </a:lnTo>
                                <a:cubicBezTo>
                                  <a:pt x="2866"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3108102" y="1114466"/>
                            <a:ext cx="1943100" cy="685978"/>
                          </a:xfrm>
                          <a:prstGeom prst="rect">
                            <a:avLst/>
                          </a:prstGeom>
                          <a:noFill/>
                          <a:ln w="12700">
                            <a:solidFill>
                              <a:schemeClr val="accent1"/>
                            </a:solidFill>
                            <a:prstDash val="solid"/>
                            <a:miter/>
                          </a:ln>
                        </wps:spPr>
                        <wps:txbx>
                          <w:txbxContent>
                            <w:p>
                              <w:r>
                                <w:rPr>
                                  <w:sz w:val="21"/>
                                  <w:szCs w:val="21"/>
                                </w:rPr>
                                <w:t xml:space="preserve">Россия - светская страна. Ни одна религия не является государственной</w:t>
                              </w:r>
                              <w:r/>
                            </w:p>
                          </w:txbxContent>
                        </wps:txbx>
                        <wps:bodyPr wrap="square" anchor="ctr"/>
                      </wps:wsp>
                      <wps:wsp>
                        <wps:cNvSpPr/>
                        <wps:spPr bwMode="auto">
                          <a:xfrm>
                            <a:off x="2855034" y="2189160"/>
                            <a:ext cx="1147493" cy="728677"/>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9"/>
                              <a:gd name="gd13" fmla="+- gd11 0 0"/>
                              <a:gd name="gd14" fmla="+- gd12 0 0"/>
                              <a:gd name="gd15" fmla="val 6350"/>
                              <a:gd name="gd16" fmla="val 0"/>
                              <a:gd name="gd17" fmla="+- gd15 0 0"/>
                              <a:gd name="gd18" fmla="+- gd16 0 0"/>
                              <a:gd name="gd19" fmla="+- gd15 0 0"/>
                              <a:gd name="gd20" fmla="+- gd16 0 0"/>
                              <a:gd name="gd21" fmla="+- gd15 0 0"/>
                              <a:gd name="gd22" fmla="+- gd16 0 0"/>
                              <a:gd name="gd23" fmla="val gd21"/>
                              <a:gd name="gd24" fmla="val gd22"/>
                              <a:gd name="gd25" fmla="val 93648"/>
                              <a:gd name="gd26" fmla="val 0"/>
                              <a:gd name="gd27" fmla="+- gd25 0 0"/>
                              <a:gd name="gd28" fmla="+- gd26 0 0"/>
                              <a:gd name="gd29" fmla="val 99998"/>
                              <a:gd name="gd30" fmla="val 9999"/>
                              <a:gd name="gd31" fmla="+- gd29 0 0"/>
                              <a:gd name="gd32" fmla="+- gd30 0 0"/>
                              <a:gd name="gd33" fmla="val 99998"/>
                              <a:gd name="gd34" fmla="val 9999"/>
                              <a:gd name="gd35" fmla="+- gd33 2 0"/>
                              <a:gd name="gd36" fmla="+- gd34 80002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2866 0"/>
                              <a:gd name="gd52" fmla="+- gd48 9999 0"/>
                              <a:gd name="gd53" fmla="+- gd47 -6350 0"/>
                              <a:gd name="gd54" fmla="+- gd48 9999 0"/>
                              <a:gd name="gd55" fmla="val gd53"/>
                              <a:gd name="gd56" fmla="val gd54"/>
                              <a:gd name="gd57" fmla="val 93650"/>
                              <a:gd name="gd58" fmla="val 100000"/>
                              <a:gd name="gd59" fmla="+- gd57 -87300 0"/>
                              <a:gd name="gd60" fmla="+- gd58 0 0"/>
                              <a:gd name="gd61" fmla="val 6350"/>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858 100000"/>
                              <a:gd name="gd74" fmla="*/ h 2927 100000"/>
                              <a:gd name="gd75" fmla="*/ w 98138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4"/>
                                  <a:pt x="2866" y="0"/>
                                  <a:pt x="6350" y="0"/>
                                </a:cubicBezTo>
                                <a:cubicBezTo>
                                  <a:pt x="gd17" y="gd18"/>
                                  <a:pt x="gd19" y="gd20"/>
                                  <a:pt x="gd21" y="gd22"/>
                                </a:cubicBezTo>
                                <a:lnTo>
                                  <a:pt x="gd25" y="gd26"/>
                                </a:lnTo>
                                <a:lnTo>
                                  <a:pt x="gd27" y="gd28"/>
                                </a:lnTo>
                                <a:cubicBezTo>
                                  <a:pt x="97131" y="0"/>
                                  <a:pt x="99998" y="4514"/>
                                  <a:pt x="99998" y="9999"/>
                                </a:cubicBezTo>
                                <a:lnTo>
                                  <a:pt x="gd31" y="gd32"/>
                                </a:lnTo>
                                <a:cubicBezTo>
                                  <a:pt x="99998" y="9999"/>
                                  <a:pt x="99998" y="9999"/>
                                  <a:pt x="99998" y="9999"/>
                                </a:cubicBezTo>
                                <a:lnTo>
                                  <a:pt x="gd35" y="gd36"/>
                                </a:lnTo>
                                <a:lnTo>
                                  <a:pt x="gd37" y="gd38"/>
                                </a:lnTo>
                                <a:cubicBezTo>
                                  <a:pt x="gd39" y="gd40"/>
                                  <a:pt x="gd41" y="gd42"/>
                                  <a:pt x="gd43" y="gd44"/>
                                </a:cubicBezTo>
                                <a:lnTo>
                                  <a:pt x="gd47" y="gd48"/>
                                </a:lnTo>
                                <a:cubicBezTo>
                                  <a:pt x="gd49" y="gd50"/>
                                  <a:pt x="gd51" y="gd52"/>
                                  <a:pt x="gd53" y="gd54"/>
                                </a:cubicBezTo>
                                <a:cubicBezTo>
                                  <a:pt x="93650" y="100000"/>
                                  <a:pt x="93650" y="100000"/>
                                  <a:pt x="93650" y="100000"/>
                                </a:cubicBezTo>
                                <a:lnTo>
                                  <a:pt x="gd59" y="gd60"/>
                                </a:lnTo>
                                <a:lnTo>
                                  <a:pt x="gd61" y="gd62"/>
                                </a:lnTo>
                                <a:cubicBezTo>
                                  <a:pt x="2866"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txbx>
                          <w:txbxContent>
                            <w:p>
                              <w:pPr>
                                <w:jc w:val="center"/>
                              </w:pPr>
                              <w:r/>
                              <w:r/>
                            </w:p>
                          </w:txbxContent>
                        </wps:txbx>
                        <wps:bodyPr anchor="ctr"/>
                      </wps:wsp>
                      <wps:wsp>
                        <wps:cNvSpPr/>
                        <wps:spPr bwMode="auto">
                          <a:xfrm rot="0" flipH="0" flipV="0">
                            <a:off x="2876382" y="2210509"/>
                            <a:ext cx="1104797" cy="685978"/>
                          </a:xfrm>
                          <a:prstGeom prst="rect">
                            <a:avLst/>
                          </a:prstGeom>
                          <a:noFill/>
                          <a:ln w="12700">
                            <a:solidFill>
                              <a:schemeClr val="accent1"/>
                            </a:solidFill>
                            <a:prstDash val="solid"/>
                            <a:miter/>
                          </a:ln>
                        </wps:spPr>
                        <wps:txbx>
                          <w:txbxContent>
                            <w:p>
                              <w:r>
                                <w:t xml:space="preserve">Изучайте русский язык</w:t>
                              </w:r>
                              <w:r/>
                            </w:p>
                          </w:txbxContent>
                        </wps:txbx>
                        <wps:bodyPr wrap="square" anchor="ctr"/>
                      </wps:wsp>
                      <wps:wsp>
                        <wps:cNvSpPr/>
                        <wps:spPr bwMode="auto">
                          <a:xfrm flipH="0" flipV="0">
                            <a:off x="4278801" y="2154239"/>
                            <a:ext cx="1147493" cy="912362"/>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9"/>
                              <a:gd name="gd13" fmla="+- gd11 0 0"/>
                              <a:gd name="gd14" fmla="+- gd12 0 0"/>
                              <a:gd name="gd15" fmla="val 6350"/>
                              <a:gd name="gd16" fmla="val 0"/>
                              <a:gd name="gd17" fmla="+- gd15 0 0"/>
                              <a:gd name="gd18" fmla="+- gd16 0 0"/>
                              <a:gd name="gd19" fmla="+- gd15 0 0"/>
                              <a:gd name="gd20" fmla="+- gd16 0 0"/>
                              <a:gd name="gd21" fmla="+- gd15 0 0"/>
                              <a:gd name="gd22" fmla="+- gd16 0 0"/>
                              <a:gd name="gd23" fmla="val gd21"/>
                              <a:gd name="gd24" fmla="val gd22"/>
                              <a:gd name="gd25" fmla="val 93648"/>
                              <a:gd name="gd26" fmla="val 0"/>
                              <a:gd name="gd27" fmla="+- gd25 0 0"/>
                              <a:gd name="gd28" fmla="+- gd26 0 0"/>
                              <a:gd name="gd29" fmla="val 99998"/>
                              <a:gd name="gd30" fmla="val 9999"/>
                              <a:gd name="gd31" fmla="+- gd29 0 0"/>
                              <a:gd name="gd32" fmla="+- gd30 0 0"/>
                              <a:gd name="gd33" fmla="val 99998"/>
                              <a:gd name="gd34" fmla="val 9999"/>
                              <a:gd name="gd35" fmla="+- gd33 2 0"/>
                              <a:gd name="gd36" fmla="+- gd34 80002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2866 0"/>
                              <a:gd name="gd52" fmla="+- gd48 9999 0"/>
                              <a:gd name="gd53" fmla="+- gd47 -6350 0"/>
                              <a:gd name="gd54" fmla="+- gd48 9999 0"/>
                              <a:gd name="gd55" fmla="val gd53"/>
                              <a:gd name="gd56" fmla="val gd54"/>
                              <a:gd name="gd57" fmla="val 93650"/>
                              <a:gd name="gd58" fmla="val 100000"/>
                              <a:gd name="gd59" fmla="+- gd57 -87300 0"/>
                              <a:gd name="gd60" fmla="+- gd58 0 0"/>
                              <a:gd name="gd61" fmla="val 6350"/>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858 100000"/>
                              <a:gd name="gd74" fmla="*/ h 2927 100000"/>
                              <a:gd name="gd75" fmla="*/ w 98138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4"/>
                                  <a:pt x="2866" y="0"/>
                                  <a:pt x="6350" y="0"/>
                                </a:cubicBezTo>
                                <a:cubicBezTo>
                                  <a:pt x="gd17" y="gd18"/>
                                  <a:pt x="gd19" y="gd20"/>
                                  <a:pt x="gd21" y="gd22"/>
                                </a:cubicBezTo>
                                <a:lnTo>
                                  <a:pt x="gd25" y="gd26"/>
                                </a:lnTo>
                                <a:lnTo>
                                  <a:pt x="gd27" y="gd28"/>
                                </a:lnTo>
                                <a:cubicBezTo>
                                  <a:pt x="97131" y="0"/>
                                  <a:pt x="99998" y="4514"/>
                                  <a:pt x="99998" y="9999"/>
                                </a:cubicBezTo>
                                <a:lnTo>
                                  <a:pt x="gd31" y="gd32"/>
                                </a:lnTo>
                                <a:cubicBezTo>
                                  <a:pt x="99998" y="9999"/>
                                  <a:pt x="99998" y="9999"/>
                                  <a:pt x="99998" y="9999"/>
                                </a:cubicBezTo>
                                <a:lnTo>
                                  <a:pt x="gd35" y="gd36"/>
                                </a:lnTo>
                                <a:lnTo>
                                  <a:pt x="gd37" y="gd38"/>
                                </a:lnTo>
                                <a:cubicBezTo>
                                  <a:pt x="gd39" y="gd40"/>
                                  <a:pt x="gd41" y="gd42"/>
                                  <a:pt x="gd43" y="gd44"/>
                                </a:cubicBezTo>
                                <a:lnTo>
                                  <a:pt x="gd47" y="gd48"/>
                                </a:lnTo>
                                <a:cubicBezTo>
                                  <a:pt x="gd49" y="gd50"/>
                                  <a:pt x="gd51" y="gd52"/>
                                  <a:pt x="gd53" y="gd54"/>
                                </a:cubicBezTo>
                                <a:cubicBezTo>
                                  <a:pt x="93650" y="100000"/>
                                  <a:pt x="93650" y="100000"/>
                                  <a:pt x="93650" y="100000"/>
                                </a:cubicBezTo>
                                <a:lnTo>
                                  <a:pt x="gd59" y="gd60"/>
                                </a:lnTo>
                                <a:lnTo>
                                  <a:pt x="gd61" y="gd62"/>
                                </a:lnTo>
                                <a:cubicBezTo>
                                  <a:pt x="2866"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4278801" y="2173938"/>
                            <a:ext cx="1104797" cy="873065"/>
                          </a:xfrm>
                          <a:prstGeom prst="rect">
                            <a:avLst/>
                          </a:prstGeom>
                          <a:noFill/>
                          <a:ln w="12700">
                            <a:solidFill>
                              <a:schemeClr val="accent1"/>
                            </a:solidFill>
                            <a:prstDash val="solid"/>
                            <a:miter/>
                          </a:ln>
                        </wps:spPr>
                        <wps:txbx>
                          <w:txbxContent>
                            <w:p>
                              <w:r>
                                <w:t xml:space="preserve">Уважайте традиции народов России</w:t>
                              </w:r>
                              <w:r/>
                            </w:p>
                          </w:txbxContent>
                        </wps:txbx>
                        <wps:bodyPr wrap="square" anchor="ctr"/>
                      </wps:wsp>
                    </wpg:wgp>
                  </a:graphicData>
                </a:graphic>
              </wp:inline>
            </w:drawing>
          </mc:Choice>
          <mc:Fallback>
            <w:pict>
              <v:group id="group 66" o:spid="_x0000_s0000" style="mso-wrap-distance-left:0.0pt;mso-wrap-distance-top:0.0pt;mso-wrap-distance-right:0.0pt;mso-wrap-distance-bottom:0.0pt;width:427.3pt;height:278.7pt;" coordorigin="0,0" coordsize="54262,35396">
                <v:shape id="shape 67" o:spid="_x0000_s67" style="position:absolute;left:40025;top:17912;width:7012;height:3336;" coordsize="100000,100000" path="m0,0l0,68142l100000,68142l100000,99994ee" filled="f" strokecolor="#3D6892" strokeweight="2.00pt">
                  <v:path textboxrect="0,0,0,0"/>
                </v:shape>
                <v:shape id="shape 68" o:spid="_x0000_s68" style="position:absolute;left:33011;top:17912;width:7012;height:3336;" coordsize="100000,100000" path="m100000,0l100000,68142l0,68142l0,99994ee" filled="f" strokecolor="#3D6892" strokeweight="2.00pt">
                  <v:path textboxrect="0,0,0,0"/>
                </v:shape>
                <v:shape id="shape 69" o:spid="_x0000_s69" style="position:absolute;left:24854;top:7287;width:15170;height:3336;" coordsize="100000,100000" path="m0,0l0,68132l100000,68132l100000,99988ee" filled="f" strokecolor="#2C4D6E" strokeweight="2.00pt">
                  <v:path textboxrect="0,0,0,0"/>
                </v:shape>
                <v:shape id="shape 70" o:spid="_x0000_s70" style="position:absolute;left:11973;top:17912;width:7012;height:4677;" coordsize="100000,100000" path="m0,0l0,68144l100000,68144l100000,99996ee" filled="f" strokecolor="#3D6892" strokeweight="2.00pt">
                  <v:path textboxrect="0,0,0,0"/>
                </v:shape>
                <v:shape id="shape 71" o:spid="_x0000_s71" style="position:absolute;left:4961;top:17912;width:7012;height:4772;" coordsize="100000,100000" path="m100000,0l100000,68142l0,68142l0,99995ee" filled="f" strokecolor="#3D6892" strokeweight="2.00pt">
                  <v:path textboxrect="0,0,0,0"/>
                </v:shape>
                <v:shape id="shape 72" o:spid="_x0000_s72" style="position:absolute;left:11973;top:7287;width:12879;height:3336;" coordsize="100000,100000" path="m100000,0l100000,68145l0,68145l0,99989ee" filled="f" strokecolor="#2C4D6E" strokeweight="2.00pt">
                  <v:path textboxrect="0,0,0,0"/>
                </v:shape>
                <v:shape id="shape 73" o:spid="_x0000_s73" style="position:absolute;left:20391;top:0;width:13187;height:8343;" coordsize="100000,100000" path="m0,9995l0,9995l0,9995c0,4511,2866,0,6350,0l6350,0c6350,0,6350,0,6350,0l93646,0l93646,0l93646,0c97130,0,99998,4511,99998,9995l99998,9995l99998,9995c99998,9995,99998,9995,99998,9995l100000,90000l100000,90000l100000,90000c100000,90000,100000,90000,100000,90000l100000,90000l100000,90000c100000,95484,97132,99999,93648,99999l93648,99999c93648,99999,93648,99999,93648,99999l6350,99999l6350,99999l6350,99999c2866,99999,0,95484,0,90000l0,90000c0,90000,0,90000,0,90000xee" fillcolor="#4C83BA" strokecolor="#FFFFFF" strokeweight="2.00pt">
                  <v:path textboxrect="1856,2926,98136,97068"/>
                </v:shape>
                <v:shape id="shape 74" o:spid="_x0000_s74" o:spt="1" style="position:absolute;left:20604;top:171;width:12551;height:8001;rotation:0;v-text-anchor:middle;" coordsize="100000,100000" path="" filled="f" strokecolor="#4F81BD" strokeweight="1.00pt">
                  <v:path textboxrect="0,0,0,0"/>
                  <v:textbox>
                    <w:txbxContent>
                      <w:p>
                        <w:r>
                          <w:rPr>
                            <w:sz w:val="21"/>
                            <w:szCs w:val="21"/>
                          </w:rPr>
                          <w:t xml:space="preserve">Уважайте государственные праздники России</w:t>
                        </w:r>
                        <w:r/>
                      </w:p>
                    </w:txbxContent>
                  </v:textbox>
                </v:shape>
                <v:shape id="shape 75" o:spid="_x0000_s75" style="position:absolute;left:5433;top:11836;width:16055;height:7286;" coordsize="100000,100000" path="m0,9997l0,9997l0,9997c0,4509,2046,0,4535,0l4535,0c4535,0,4535,0,4535,0l95461,0l95461,0l95461,0c97949,0,99998,4509,99998,9997l99998,9997l99998,9997c99998,9997,99998,9997,99998,9997l100000,89997l100000,89997l100000,89997c100000,89997,100000,89997,100000,89997l100000,89997l100000,89997c100000,95480,97951,99994,95463,99994l95463,99994c95463,99994,95463,99994,95463,99994l4535,99999l4535,99999l4535,99999c2046,99999,0,95485,0,90002l0,90002c0,90002,0,90002,0,90002xee" fillcolor="#4C83BA" strokecolor="#FFFFFF" strokeweight="2.00pt">
                  <v:path textboxrect="1326,2922,98666,97065"/>
                </v:shape>
                <v:shape id="shape 76" o:spid="_x0000_s76" o:spt="1" style="position:absolute;left:5646;top:12049;width:15628;height:6859;rotation:0;v-text-anchor:middle;" coordsize="100000,100000" path="" filled="f" strokecolor="#4F81BD" strokeweight="1.00pt">
                  <v:path textboxrect="0,0,0,0"/>
                  <v:textbox>
                    <w:txbxContent>
                      <w:p>
                        <w:r>
                          <w:rPr>
                            <w:sz w:val="21"/>
                            <w:szCs w:val="21"/>
                          </w:rPr>
                          <w:t xml:space="preserve">Не говорите громко в транспорте, отключайте мобильные телефоны при посещении театра</w:t>
                        </w:r>
                        <w:r/>
                      </w:p>
                    </w:txbxContent>
                  </v:textbox>
                </v:shape>
                <v:shape id="shape 77" o:spid="_x0000_s77" style="position:absolute;left:0;top:22960;width:11474;height:12436;" coordsize="100000,100000" path="m0,9998l0,9998l0,9998c0,4512,3339,0,7396,0l7396,0c7396,0,7396,0,7396,0l92599,0l92599,0l92599,0c96656,0,99997,4512,99997,9998l99997,9998l99997,9998c99997,9998,99997,9998,99997,9998l99997,90000l99997,90000l99997,90000c99997,90000,99997,90000,99997,90000l99997,90000l99997,90000c99997,95484,96658,99998,92602,99998l92602,99998c92602,99998,92602,99998,92602,99998l7396,99998l7396,99998l7396,99998c3339,99998,0,95484,0,90000l0,90000c0,90000,0,90000,0,90000xee" fillcolor="#4C83BA" strokecolor="#FFFFFF" strokeweight="2.00pt">
                  <v:path textboxrect="2165,2925,97829,97069"/>
                </v:shape>
                <v:group id="group 78" o:spid="_x0000_s0000" style="position:absolute;left:0;top:22960;width:11474;height:12244;" coordorigin="0,0" coordsize="11474,12244">
                  <v:shape id="shape 79" o:spid="_x0000_s79" style="position:absolute;left:0;top:0;width:11474;height:12244;v-text-anchor:middle;" coordsize="100000,100000" path="m0,9035l0,9035l0,9035c0,4076,4513,0,9999,0l9999,0c9999,0,9999,0,9999,0l89999,0l89999,0l89999,0c95485,0,100000,4076,100000,9035l100000,9035l100000,9035c100000,9035,100000,9035,100000,9035l100000,90963l100000,90963l100000,90963c100000,90963,100000,90963,100000,90963l100000,90963l100000,90963c100000,95919,95485,99998,89999,99998l89999,99998c89999,99998,89999,99998,89999,99998l9999,100000l9999,100000l9999,100000c4513,100000,0,95921,0,90963l0,90963c0,90963,0,90963,0,90963xee" fillcolor="#FFFFFF" strokecolor="#4C83BA" strokeweight="2.00pt">
                    <v:path textboxrect="2926,2643,97067,97349"/>
                    <v:fill opacity="-6582f"/>
                    <v:textbox>
                      <w:txbxContent>
                        <w:p>
                          <w:pPr>
                            <w:jc w:val="center"/>
                          </w:pPr>
                          <w:r/>
                          <w:r/>
                        </w:p>
                      </w:txbxContent>
                    </v:textbox>
                  </v:shape>
                  <v:shape id="shape 80" o:spid="_x0000_s80" o:spt="1" style="position:absolute;left:496;top:59;width:10326;height:12184;v-text-anchor:middle;" coordsize="100000,100000" path="" filled="f" strokecolor="#4F81BD" strokeweight="1.00pt">
                    <v:path textboxrect="0,0,0,0"/>
                    <v:textbox>
                      <w:txbxContent>
                        <w:p>
                          <w:r>
                            <w:rPr>
                              <w:sz w:val="21"/>
                              <w:szCs w:val="21"/>
                            </w:rPr>
                            <w:t xml:space="preserve">Не распивайте спиртные напитки и не курите в общественных местах</w:t>
                          </w:r>
                          <w:r/>
                        </w:p>
                      </w:txbxContent>
                    </v:textbox>
                  </v:shape>
                </v:group>
                <v:shape id="shape 81" o:spid="_x0000_s81" style="position:absolute;left:14310;top:22960;width:11474;height:11386;" coordsize="100000,100000" path="m0,9998l0,9998l0,9998c0,4514,2866,0,6350,0l6350,0c6350,0,6350,0,6350,0l93646,0l93646,0l93646,0c97130,0,99998,4514,99998,9998l99998,9998l99998,9998c99998,9998,99998,9998,99998,9998l100000,90001l100000,90001l100000,90001c100000,90001,100000,90001,100000,90001l100000,90001l100000,90001c100000,95485,97132,99999,93648,99999l93648,99999c93648,99999,93648,99999,93648,99999l6350,99999l6350,99999l6350,99999c2866,99999,0,95485,0,90001l0,90001c0,90001,0,90001,0,90001xee" fillcolor="#4C83BA" strokecolor="#FFFFFF" strokeweight="2.00pt">
                  <v:path textboxrect="1856,2925,98136,97068"/>
                </v:shape>
                <v:shape id="shape 82" o:spid="_x0000_s82" o:spt="1" style="position:absolute;left:14649;top:23655;width:10798;height:10153;rotation:0;v-text-anchor:middle;" coordsize="100000,100000" path="" filled="f" strokecolor="#4F81BD" strokeweight="1.00pt">
                  <v:path textboxrect="0,0,0,0"/>
                  <v:textbox>
                    <w:txbxContent>
                      <w:p>
                        <w:r>
                          <w:rPr>
                            <w:sz w:val="21"/>
                            <w:szCs w:val="21"/>
                          </w:rPr>
                          <w:t xml:space="preserve">Не обращайтесь к малознакомому человеку на «ты»</w:t>
                        </w:r>
                        <w:r/>
                      </w:p>
                    </w:txbxContent>
                  </v:textbox>
                </v:shape>
                <v:shape id="shape 83" o:spid="_x0000_s83" style="position:absolute;left:30886;top:10931;width:19820;height:7286;" coordsize="100000,100000" path="m0,9999l0,9999l0,9999c0,4508,2866,0,6350,0l6350,0c6350,0,6350,0,6350,0l93646,0l93646,0l93646,0c97130,0,99998,4508,99998,9999l99998,9999l99998,9999c99998,9999,99998,9999,99998,9999l100000,89996l100000,89996l100000,89996c100000,89996,100000,89996,100000,89996l100000,89996l100000,89996c100000,95481,97132,99995,93648,99995l93648,99995c93648,99995,93648,99995,93648,99995l6350,99995l6350,99995l6350,99995c2866,99995,0,95481,0,89996l0,89996c0,89996,0,89996,0,89996xee" fillcolor="#4C83BA" strokecolor="#FFFFFF" strokeweight="2.00pt">
                  <v:path textboxrect="1856,2921,98136,97067"/>
                </v:shape>
                <v:shape id="shape 84" o:spid="_x0000_s84" o:spt="1" style="position:absolute;left:31081;top:11144;width:19431;height:6859;rotation:0;v-text-anchor:middle;" coordsize="100000,100000" path="" filled="f" strokecolor="#4F81BD" strokeweight="1.00pt">
                  <v:path textboxrect="0,0,0,0"/>
                  <v:textbox>
                    <w:txbxContent>
                      <w:p>
                        <w:r>
                          <w:rPr>
                            <w:sz w:val="21"/>
                            <w:szCs w:val="21"/>
                          </w:rPr>
                          <w:t xml:space="preserve">Россия - светская страна. Ни одна религия не является государственной</w:t>
                        </w:r>
                        <w:r/>
                      </w:p>
                    </w:txbxContent>
                  </v:textbox>
                </v:shape>
                <v:shape id="shape 85" o:spid="_x0000_s85" style="position:absolute;left:28550;top:21891;width:11474;height:7286;v-text-anchor:middle;" coordsize="100000,100000" path="m0,9995l0,9995l0,9995c0,4513,2866,0,6350,0l6350,0c6350,0,6350,0,6350,0l93646,0l93646,0l93646,0c97130,0,99998,4513,99998,9995l99998,9995l99998,9995c99998,9995,99998,9995,99998,9995l100000,89998l100000,89998l100000,89998c100000,89998,100000,89998,100000,89998l100000,89998l100000,89998c100000,95485,97132,99997,93648,99997l93648,99997c93648,99997,93648,99997,93648,99997l6350,99997l6350,99997l6350,99997c2866,99997,0,95485,0,89998l0,89998c0,89998,0,89998,0,89998xee" fillcolor="#4C83BA" strokecolor="#FFFFFF" strokeweight="2.00pt">
                  <v:path textboxrect="1856,2923,98136,97066"/>
                  <v:textbox>
                    <w:txbxContent>
                      <w:p>
                        <w:pPr>
                          <w:jc w:val="center"/>
                        </w:pPr>
                        <w:r/>
                        <w:r/>
                      </w:p>
                    </w:txbxContent>
                  </v:textbox>
                </v:shape>
                <v:shape id="shape 86" o:spid="_x0000_s86" o:spt="1" style="position:absolute;left:28763;top:22105;width:11047;height:6859;rotation:0;v-text-anchor:middle;" coordsize="100000,100000" path="" filled="f" strokecolor="#4F81BD" strokeweight="1.00pt">
                  <v:path textboxrect="0,0,0,0"/>
                  <v:textbox>
                    <w:txbxContent>
                      <w:p>
                        <w:r>
                          <w:t xml:space="preserve">Изучайте русский язык</w:t>
                        </w:r>
                        <w:r/>
                      </w:p>
                    </w:txbxContent>
                  </v:textbox>
                </v:shape>
                <v:shape id="shape 87" o:spid="_x0000_s87" style="position:absolute;left:42788;top:21542;width:11474;height:9123;" coordsize="100000,100000" path="m0,9998l0,9998l0,9998c0,4513,2866,0,6350,0l6350,0c6350,0,6350,0,6350,0l93646,0l93646,0l93646,0c97130,0,99998,4513,99998,9998l99998,9998l99998,9998c99998,9998,99998,9998,99998,9998l100000,90000l100000,90000l100000,90000c100000,90000,100000,90000,100000,90000l100000,90000l100000,90000c100000,95485,97132,99997,93648,99997l93648,99997c93648,99997,93648,99997,93648,99997l6350,99997l6350,99997l6350,99997c2866,99997,0,95485,0,90000l0,90000c0,90000,0,90000,0,90000xee" fillcolor="#4C83BA" strokecolor="#FFFFFF" strokeweight="2.00pt">
                  <v:path textboxrect="1856,2925,98136,97068"/>
                </v:shape>
                <v:shape id="shape 88" o:spid="_x0000_s88" o:spt="1" style="position:absolute;left:42788;top:21739;width:11047;height:8730;rotation:0;v-text-anchor:middle;" coordsize="100000,100000" path="" filled="f" strokecolor="#4F81BD" strokeweight="1.00pt">
                  <v:path textboxrect="0,0,0,0"/>
                  <v:textbox>
                    <w:txbxContent>
                      <w:p>
                        <w:r>
                          <w:t xml:space="preserve">Уважайте традиции народов России</w:t>
                        </w:r>
                        <w:r/>
                      </w:p>
                    </w:txbxContent>
                  </v:textbox>
                </v:shape>
              </v:group>
            </w:pict>
          </mc:Fallback>
        </mc:AlternateContent>
      </w:r>
      <w:r>
        <w:rPr>
          <w:rFonts w:ascii="Cambria" w:hAnsi="Cambria" w:cs="Times New Roman"/>
          <w:b/>
          <w:sz w:val="24"/>
          <w:szCs w:val="24"/>
          <w:lang w:eastAsia="ru-RU"/>
        </w:rPr>
      </w:r>
      <w:r/>
    </w:p>
    <w:p>
      <w:pPr>
        <w:rPr>
          <w:rFonts w:ascii="Cambria" w:hAnsi="Cambria" w:cs="Times New Roman" w:eastAsia="Times New Roman"/>
          <w:b/>
          <w:color w:val="000000"/>
          <w:sz w:val="24"/>
          <w:szCs w:val="24"/>
          <w:lang w:eastAsia="ru-RU"/>
        </w:rPr>
      </w:pPr>
      <w:r>
        <w:rPr>
          <w:rFonts w:ascii="Cambria" w:hAnsi="Cambria"/>
          <w:b/>
          <w:color w:val="000000"/>
        </w:rPr>
        <w:br w:type="page"/>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ЗА НАРУШЕНИЯ РОССИЙСКОГО ЗАКОНОДАТЕЛЬСТВА </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ПРЕДУСМОТРЕНА ОТВЕТСТВЕННОСТЬ</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АДМИНИСТРАТИВНАЯ ОТВЕТСТВЕННОСТЬ</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mc:AlternateContent>
          <mc:Choice Requires="wpg">
            <w:drawing>
              <wp:inline xmlns:wp="http://schemas.openxmlformats.org/drawingml/2006/wordprocessingDrawing" distT="0" distB="0" distL="0" distR="0">
                <wp:extent cx="4943458" cy="3968702"/>
                <wp:effectExtent l="0" t="0" r="0" b="0"/>
                <wp:docPr id="22" name="" hidden="false"/>
                <wp:cNvGraphicFramePr/>
                <a:graphic xmlns:a="http://schemas.openxmlformats.org/drawingml/2006/main">
                  <a:graphicData uri="http://schemas.microsoft.com/office/word/2010/wordprocessingGroup">
                    <wpg:wgp>
                      <wpg:cNvGrpSpPr/>
                      <wpg:grpSpPr bwMode="auto">
                        <a:xfrm>
                          <a:off x="0" y="0"/>
                          <a:ext cx="4943458" cy="3968701"/>
                          <a:chOff x="0" y="0"/>
                          <a:chExt cx="4943458" cy="3968701"/>
                        </a:xfrm>
                      </wpg:grpSpPr>
                      <wps:wsp>
                        <wps:cNvSpPr/>
                        <wps:spPr bwMode="auto">
                          <a:xfrm>
                            <a:off x="4005059" y="2099223"/>
                            <a:ext cx="115409" cy="377215"/>
                          </a:xfrm>
                          <a:custGeom>
                            <a:avLst>
                              <a:gd name="adj0" fmla="val 0"/>
                              <a:gd name="adj1" fmla="val 0"/>
                              <a:gd name="adj2" fmla="val 0"/>
                            </a:avLst>
                            <a:gdLst>
                              <a:gd name="gd0" fmla="val 65536"/>
                              <a:gd name="gd1" fmla="val 0"/>
                              <a:gd name="gd2" fmla="val 0"/>
                              <a:gd name="gd3" fmla="val 0"/>
                              <a:gd name="gd4" fmla="val 66977"/>
                              <a:gd name="gd5" fmla="+- gd3 100000 0"/>
                              <a:gd name="gd6" fmla="+- gd4 0 0"/>
                              <a:gd name="gd7" fmla="val 100000"/>
                              <a:gd name="gd8" fmla="val 100000"/>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2912771" y="840269"/>
                            <a:ext cx="1092187" cy="404916"/>
                          </a:xfrm>
                          <a:custGeom>
                            <a:avLst>
                              <a:gd name="adj0" fmla="val 0"/>
                              <a:gd name="adj1" fmla="val 0"/>
                              <a:gd name="adj2" fmla="val 0"/>
                            </a:avLst>
                            <a:gdLst>
                              <a:gd name="gd0" fmla="val 65536"/>
                              <a:gd name="gd1" fmla="val 0"/>
                              <a:gd name="gd2" fmla="val 0"/>
                              <a:gd name="gd3" fmla="val 0"/>
                              <a:gd name="gd4" fmla="val 69232"/>
                              <a:gd name="gd5" fmla="+- gd3 100000 0"/>
                              <a:gd name="gd6" fmla="+- gd4 0 0"/>
                              <a:gd name="gd7" fmla="val 100000"/>
                              <a:gd name="gd8" fmla="val 99997"/>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a:off x="1705174" y="2085422"/>
                            <a:ext cx="870469" cy="783732"/>
                          </a:xfrm>
                          <a:custGeom>
                            <a:avLst>
                              <a:gd name="adj0" fmla="val 0"/>
                              <a:gd name="adj1" fmla="val 0"/>
                              <a:gd name="adj2" fmla="val 0"/>
                            </a:avLst>
                            <a:gdLst>
                              <a:gd name="gd0" fmla="val 65536"/>
                              <a:gd name="gd1" fmla="val 0"/>
                              <a:gd name="gd2" fmla="val 0"/>
                              <a:gd name="gd3" fmla="val 0"/>
                              <a:gd name="gd4" fmla="val 68147"/>
                              <a:gd name="gd5" fmla="+- gd3 100000 0"/>
                              <a:gd name="gd6" fmla="+- gd4 0 0"/>
                              <a:gd name="gd7" fmla="val 100000"/>
                              <a:gd name="gd8" fmla="val 99998"/>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bodyPr rot="0">
                          <a:prstTxWarp prst="textNoShape">
                            <a:avLst/>
                          </a:prstTxWarp>
                          <a:noAutofit/>
                        </wps:bodyPr>
                      </wps:wsp>
                      <wps:wsp>
                        <wps:cNvSpPr/>
                        <wps:spPr bwMode="auto">
                          <a:xfrm>
                            <a:off x="983316" y="2422936"/>
                            <a:ext cx="721757" cy="413616"/>
                          </a:xfrm>
                          <a:custGeom>
                            <a:avLst>
                              <a:gd name="adj0" fmla="val 0"/>
                              <a:gd name="adj1" fmla="val 0"/>
                              <a:gd name="adj2" fmla="val 0"/>
                            </a:avLst>
                            <a:gdLst>
                              <a:gd name="gd0" fmla="val 65536"/>
                              <a:gd name="gd1" fmla="val 100000"/>
                              <a:gd name="gd2" fmla="val 0"/>
                              <a:gd name="gd3" fmla="+- gd1 0 0"/>
                              <a:gd name="gd4" fmla="+- gd2 68147 0"/>
                              <a:gd name="gd5" fmla="val 0"/>
                              <a:gd name="gd6" fmla="val 68147"/>
                              <a:gd name="gd7" fmla="val 0"/>
                              <a:gd name="gd8" fmla="val 99997"/>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3D6892"/>
                            </a:solidFill>
                            <a:round/>
                          </a:ln>
                        </wps:spPr>
                        <wps:txbx>
                          <w:txbxContent>
                            <w:p>
                              <w:pPr>
                                <w:jc w:val="center"/>
                              </w:pPr>
                              <w:r/>
                              <w:r/>
                            </w:p>
                          </w:txbxContent>
                        </wps:txbx>
                        <wps:bodyPr wrap="square" anchor="ctr"/>
                      </wps:wsp>
                      <wps:wsp>
                        <wps:cNvSpPr/>
                        <wps:spPr bwMode="auto">
                          <a:xfrm>
                            <a:off x="1705174" y="840269"/>
                            <a:ext cx="1207596" cy="391116"/>
                          </a:xfrm>
                          <a:custGeom>
                            <a:avLst>
                              <a:gd name="adj0" fmla="val 0"/>
                              <a:gd name="adj1" fmla="val 0"/>
                              <a:gd name="adj2" fmla="val 0"/>
                            </a:avLst>
                            <a:gdLst>
                              <a:gd name="gd0" fmla="val 65536"/>
                              <a:gd name="gd1" fmla="val 100000"/>
                              <a:gd name="gd2" fmla="val 0"/>
                              <a:gd name="gd3" fmla="+- gd1 0 0"/>
                              <a:gd name="gd4" fmla="+- gd2 68145 0"/>
                              <a:gd name="gd5" fmla="val 0"/>
                              <a:gd name="gd6" fmla="val 68145"/>
                              <a:gd name="gd7" fmla="val 0"/>
                              <a:gd name="gd8" fmla="val 99998"/>
                              <a:gd name="gd9" fmla="*/ w 0 100000"/>
                              <a:gd name="gd10" fmla="*/ h 0 100000"/>
                              <a:gd name="gd11" fmla="*/ w 0 100000"/>
                              <a:gd name="gd12" fmla="*/ h 0 100000"/>
                            </a:gdLst>
                            <a:ahLst/>
                            <a:cxnLst/>
                            <a:rect l="gd9" t="gd10" r="gd11" b="gd12"/>
                            <a:pathLst>
                              <a:path w="100000" h="100000" fill="norm" stroke="1" extrusionOk="0">
                                <a:moveTo>
                                  <a:pt x="gd1" y="gd2"/>
                                </a:moveTo>
                                <a:lnTo>
                                  <a:pt x="gd3" y="gd4"/>
                                </a:lnTo>
                                <a:lnTo>
                                  <a:pt x="gd5" y="gd6"/>
                                </a:lnTo>
                                <a:lnTo>
                                  <a:pt x="gd7" y="gd8"/>
                                </a:lnTo>
                              </a:path>
                              <a:path w="100000" h="100000" fill="norm" stroke="1" extrusionOk="0"/>
                            </a:pathLst>
                          </a:custGeom>
                          <a:noFill/>
                          <a:ln w="25400">
                            <a:solidFill>
                              <a:srgbClr val="2C4D6E"/>
                            </a:solidFill>
                            <a:round/>
                          </a:ln>
                        </wps:spPr>
                        <wps:bodyPr rot="0">
                          <a:prstTxWarp prst="textNoShape">
                            <a:avLst/>
                          </a:prstTxWarp>
                          <a:noAutofit/>
                        </wps:bodyPr>
                      </wps:wsp>
                      <wps:wsp>
                        <wps:cNvSpPr/>
                        <wps:spPr bwMode="auto">
                          <a:xfrm flipH="0" flipV="0">
                            <a:off x="1964586" y="0"/>
                            <a:ext cx="1896369" cy="830069"/>
                          </a:xfrm>
                          <a:custGeom>
                            <a:avLst>
                              <a:gd name="adj0" fmla="val 108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5481"/>
                              <a:gd name="gd16" fmla="val 0"/>
                              <a:gd name="gd17" fmla="+- gd15 0 0"/>
                              <a:gd name="gd18" fmla="+- gd16 0 0"/>
                              <a:gd name="gd19" fmla="+- gd15 0 0"/>
                              <a:gd name="gd20" fmla="+- gd16 0 0"/>
                              <a:gd name="gd21" fmla="+- gd15 0 0"/>
                              <a:gd name="gd22" fmla="+- gd16 0 0"/>
                              <a:gd name="gd23" fmla="val gd21"/>
                              <a:gd name="gd24" fmla="val gd22"/>
                              <a:gd name="gd25" fmla="val 94516"/>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79999 0"/>
                              <a:gd name="gd37" fmla="val 100000"/>
                              <a:gd name="gd38" fmla="val 89997"/>
                              <a:gd name="gd39" fmla="+- gd37 0 0"/>
                              <a:gd name="gd40" fmla="+- gd38 0 0"/>
                              <a:gd name="gd41" fmla="+- gd37 0 0"/>
                              <a:gd name="gd42" fmla="+- gd38 0 0"/>
                              <a:gd name="gd43" fmla="+- gd37 0 0"/>
                              <a:gd name="gd44" fmla="+- gd38 0 0"/>
                              <a:gd name="gd45" fmla="val gd43"/>
                              <a:gd name="gd46" fmla="val gd44"/>
                              <a:gd name="gd47" fmla="val 100000"/>
                              <a:gd name="gd48" fmla="val 89997"/>
                              <a:gd name="gd49" fmla="+- gd47 0 0"/>
                              <a:gd name="gd50" fmla="+- gd48 5485 0"/>
                              <a:gd name="gd51" fmla="+- gd47 -2474 0"/>
                              <a:gd name="gd52" fmla="+- gd48 9998 0"/>
                              <a:gd name="gd53" fmla="+- gd47 -5481 0"/>
                              <a:gd name="gd54" fmla="+- gd48 9998 0"/>
                              <a:gd name="gd55" fmla="val gd53"/>
                              <a:gd name="gd56" fmla="val gd54"/>
                              <a:gd name="gd57" fmla="val 94519"/>
                              <a:gd name="gd58" fmla="val 99995"/>
                              <a:gd name="gd59" fmla="+- gd57 -89038 0"/>
                              <a:gd name="gd60" fmla="+- gd58 5 0"/>
                              <a:gd name="gd61" fmla="val 5481"/>
                              <a:gd name="gd62" fmla="val 100000"/>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1604 100000"/>
                              <a:gd name="gd74" fmla="*/ h 2926 100000"/>
                              <a:gd name="gd75" fmla="*/ w 98393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2474" y="0"/>
                                  <a:pt x="5481" y="0"/>
                                </a:cubicBezTo>
                                <a:cubicBezTo>
                                  <a:pt x="gd17" y="gd18"/>
                                  <a:pt x="gd19" y="gd20"/>
                                  <a:pt x="gd21" y="gd22"/>
                                </a:cubicBezTo>
                                <a:lnTo>
                                  <a:pt x="gd25" y="gd26"/>
                                </a:lnTo>
                                <a:lnTo>
                                  <a:pt x="gd27" y="gd28"/>
                                </a:lnTo>
                                <a:cubicBezTo>
                                  <a:pt x="97523"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4519" y="99995"/>
                                  <a:pt x="94519" y="99995"/>
                                  <a:pt x="94519" y="99995"/>
                                </a:cubicBezTo>
                                <a:lnTo>
                                  <a:pt x="gd59" y="gd60"/>
                                </a:lnTo>
                                <a:lnTo>
                                  <a:pt x="gd61" y="gd62"/>
                                </a:lnTo>
                                <a:cubicBezTo>
                                  <a:pt x="2474" y="100000"/>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1985097" y="22767"/>
                            <a:ext cx="1827035" cy="784532"/>
                          </a:xfrm>
                          <a:prstGeom prst="rect">
                            <a:avLst/>
                          </a:prstGeom>
                          <a:noFill/>
                          <a:ln w="12699">
                            <a:solidFill>
                              <a:srgbClr val="0070C0"/>
                            </a:solidFill>
                            <a:prstDash val="solid"/>
                            <a:miter/>
                          </a:ln>
                        </wps:spPr>
                        <wps:txbx>
                          <w:txbxContent>
                            <w:p>
                              <w:r>
                                <w:rPr>
                                  <w:sz w:val="21"/>
                                  <w:szCs w:val="21"/>
                                </w:rPr>
                                <w:t xml:space="preserve">Не оформили уведомление о постановке на миграционный учет</w:t>
                              </w:r>
                              <w:r/>
                            </w:p>
                          </w:txbxContent>
                        </wps:txbx>
                        <wps:bodyPr wrap="square" anchor="ctr"/>
                      </wps:wsp>
                      <wps:wsp>
                        <wps:cNvSpPr/>
                        <wps:spPr bwMode="auto">
                          <a:xfrm flipH="0" flipV="0">
                            <a:off x="1114526" y="1231385"/>
                            <a:ext cx="1491105" cy="884909"/>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7229"/>
                              <a:gd name="gd16" fmla="val 0"/>
                              <a:gd name="gd17" fmla="+- gd15 0 0"/>
                              <a:gd name="gd18" fmla="+- gd16 0 0"/>
                              <a:gd name="gd19" fmla="+- gd15 0 0"/>
                              <a:gd name="gd20" fmla="+- gd16 0 0"/>
                              <a:gd name="gd21" fmla="+- gd15 0 0"/>
                              <a:gd name="gd22" fmla="+- gd16 0 0"/>
                              <a:gd name="gd23" fmla="val gd21"/>
                              <a:gd name="gd24" fmla="val gd22"/>
                              <a:gd name="gd25" fmla="val 92769"/>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80004 0"/>
                              <a:gd name="gd37" fmla="val 100000"/>
                              <a:gd name="gd38" fmla="val 90002"/>
                              <a:gd name="gd39" fmla="+- gd37 0 0"/>
                              <a:gd name="gd40" fmla="+- gd38 0 0"/>
                              <a:gd name="gd41" fmla="+- gd37 0 0"/>
                              <a:gd name="gd42" fmla="+- gd38 0 0"/>
                              <a:gd name="gd43" fmla="+- gd37 0 0"/>
                              <a:gd name="gd44" fmla="+- gd38 0 0"/>
                              <a:gd name="gd45" fmla="val gd43"/>
                              <a:gd name="gd46" fmla="val gd44"/>
                              <a:gd name="gd47" fmla="val 100000"/>
                              <a:gd name="gd48" fmla="val 90002"/>
                              <a:gd name="gd49" fmla="+- gd47 0 0"/>
                              <a:gd name="gd50" fmla="+- gd48 5485 0"/>
                              <a:gd name="gd51" fmla="+- gd47 -3263 0"/>
                              <a:gd name="gd52" fmla="+- gd48 9998 0"/>
                              <a:gd name="gd53" fmla="+- gd47 -7229 0"/>
                              <a:gd name="gd54" fmla="+- gd48 9998 0"/>
                              <a:gd name="gd55" fmla="val gd53"/>
                              <a:gd name="gd56" fmla="val gd54"/>
                              <a:gd name="gd57" fmla="val 92771"/>
                              <a:gd name="gd58" fmla="val 100000"/>
                              <a:gd name="gd59" fmla="+- gd57 -85542 0"/>
                              <a:gd name="gd60" fmla="+- gd58 0 0"/>
                              <a:gd name="gd61" fmla="val 7229"/>
                              <a:gd name="gd62" fmla="val 100000"/>
                              <a:gd name="gd63" fmla="val 0"/>
                              <a:gd name="gd64" fmla="val 90002"/>
                              <a:gd name="gd65" fmla="+- gd63 0 0"/>
                              <a:gd name="gd66" fmla="+- gd64 0 0"/>
                              <a:gd name="gd67" fmla="+- gd63 0 0"/>
                              <a:gd name="gd68" fmla="+- gd64 0 0"/>
                              <a:gd name="gd69" fmla="+- gd63 0 0"/>
                              <a:gd name="gd70" fmla="+- gd64 0 0"/>
                              <a:gd name="gd71" fmla="val gd69"/>
                              <a:gd name="gd72" fmla="val gd70"/>
                              <a:gd name="gd73" fmla="*/ w 2115 100000"/>
                              <a:gd name="gd74" fmla="*/ h 2926 100000"/>
                              <a:gd name="gd75" fmla="*/ w 97881 100000"/>
                              <a:gd name="gd76" fmla="*/ h 97071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3263" y="0"/>
                                  <a:pt x="7229" y="0"/>
                                </a:cubicBezTo>
                                <a:cubicBezTo>
                                  <a:pt x="gd17" y="gd18"/>
                                  <a:pt x="gd19" y="gd20"/>
                                  <a:pt x="gd21" y="gd22"/>
                                </a:cubicBezTo>
                                <a:lnTo>
                                  <a:pt x="gd25" y="gd26"/>
                                </a:lnTo>
                                <a:lnTo>
                                  <a:pt x="gd27" y="gd28"/>
                                </a:lnTo>
                                <a:cubicBezTo>
                                  <a:pt x="96734"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2771" y="100000"/>
                                  <a:pt x="92771" y="100000"/>
                                  <a:pt x="92771" y="100000"/>
                                </a:cubicBezTo>
                                <a:lnTo>
                                  <a:pt x="gd59" y="gd60"/>
                                </a:lnTo>
                                <a:lnTo>
                                  <a:pt x="gd61" y="gd62"/>
                                </a:lnTo>
                                <a:cubicBezTo>
                                  <a:pt x="3263" y="100000"/>
                                  <a:pt x="0" y="95487"/>
                                  <a:pt x="0" y="90002"/>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1152617" y="1282214"/>
                            <a:ext cx="1431849" cy="817008"/>
                          </a:xfrm>
                          <a:prstGeom prst="rect">
                            <a:avLst/>
                          </a:prstGeom>
                          <a:noFill/>
                          <a:ln w="12700">
                            <a:solidFill>
                              <a:srgbClr val="0070C0"/>
                            </a:solidFill>
                            <a:prstDash val="solid"/>
                            <a:miter/>
                          </a:ln>
                        </wps:spPr>
                        <wps:txbx>
                          <w:txbxContent>
                            <w:p>
                              <w:r>
                                <w:rPr>
                                  <w:sz w:val="21"/>
                                  <w:szCs w:val="21"/>
                                </w:rPr>
                                <w:t xml:space="preserve">Указали ложные сведения при постановке на миграционный учет</w:t>
                              </w:r>
                              <w:r/>
                            </w:p>
                          </w:txbxContent>
                        </wps:txbx>
                        <wps:bodyPr wrap="square" anchor="ctr"/>
                      </wps:wsp>
                      <wps:wsp>
                        <wps:cNvSpPr/>
                        <wps:spPr bwMode="auto">
                          <a:xfrm flipH="0" flipV="0">
                            <a:off x="0" y="2823653"/>
                            <a:ext cx="1705174" cy="1145048"/>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7743"/>
                              <a:gd name="gd16" fmla="val 0"/>
                              <a:gd name="gd17" fmla="+- gd15 0 0"/>
                              <a:gd name="gd18" fmla="+- gd16 0 0"/>
                              <a:gd name="gd19" fmla="+- gd15 0 0"/>
                              <a:gd name="gd20" fmla="+- gd16 0 0"/>
                              <a:gd name="gd21" fmla="+- gd15 0 0"/>
                              <a:gd name="gd22" fmla="+- gd16 0 0"/>
                              <a:gd name="gd23" fmla="val gd21"/>
                              <a:gd name="gd24" fmla="val gd22"/>
                              <a:gd name="gd25" fmla="val 92255"/>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80003 0"/>
                              <a:gd name="gd37" fmla="val 100000"/>
                              <a:gd name="gd38" fmla="val 90001"/>
                              <a:gd name="gd39" fmla="+- gd37 0 0"/>
                              <a:gd name="gd40" fmla="+- gd38 0 0"/>
                              <a:gd name="gd41" fmla="+- gd37 0 0"/>
                              <a:gd name="gd42" fmla="+- gd38 0 0"/>
                              <a:gd name="gd43" fmla="+- gd37 0 0"/>
                              <a:gd name="gd44" fmla="+- gd38 0 0"/>
                              <a:gd name="gd45" fmla="val gd43"/>
                              <a:gd name="gd46" fmla="val gd44"/>
                              <a:gd name="gd47" fmla="val 100000"/>
                              <a:gd name="gd48" fmla="val 90001"/>
                              <a:gd name="gd49" fmla="+- gd47 0 0"/>
                              <a:gd name="gd50" fmla="+- gd48 5485 0"/>
                              <a:gd name="gd51" fmla="+- gd47 -3495 0"/>
                              <a:gd name="gd52" fmla="+- gd48 9998 0"/>
                              <a:gd name="gd53" fmla="+- gd47 -7743 0"/>
                              <a:gd name="gd54" fmla="+- gd48 9998 0"/>
                              <a:gd name="gd55" fmla="val gd53"/>
                              <a:gd name="gd56" fmla="val gd54"/>
                              <a:gd name="gd57" fmla="val 92257"/>
                              <a:gd name="gd58" fmla="val 99999"/>
                              <a:gd name="gd59" fmla="+- gd57 -84514 0"/>
                              <a:gd name="gd60" fmla="+- gd58 0 0"/>
                              <a:gd name="gd61" fmla="val 7743"/>
                              <a:gd name="gd62" fmla="val 99999"/>
                              <a:gd name="gd63" fmla="val 0"/>
                              <a:gd name="gd64" fmla="val 90001"/>
                              <a:gd name="gd65" fmla="+- gd63 0 0"/>
                              <a:gd name="gd66" fmla="+- gd64 0 0"/>
                              <a:gd name="gd67" fmla="+- gd63 0 0"/>
                              <a:gd name="gd68" fmla="+- gd64 0 0"/>
                              <a:gd name="gd69" fmla="+- gd63 0 0"/>
                              <a:gd name="gd70" fmla="+- gd64 0 0"/>
                              <a:gd name="gd71" fmla="val gd69"/>
                              <a:gd name="gd72" fmla="val gd70"/>
                              <a:gd name="gd73" fmla="*/ w 2266 100000"/>
                              <a:gd name="gd74" fmla="*/ h 2926 100000"/>
                              <a:gd name="gd75" fmla="*/ w 97731 100000"/>
                              <a:gd name="gd76" fmla="*/ h 97069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3495" y="0"/>
                                  <a:pt x="7743" y="0"/>
                                </a:cubicBezTo>
                                <a:cubicBezTo>
                                  <a:pt x="gd17" y="gd18"/>
                                  <a:pt x="gd19" y="gd20"/>
                                  <a:pt x="gd21" y="gd22"/>
                                </a:cubicBezTo>
                                <a:lnTo>
                                  <a:pt x="gd25" y="gd26"/>
                                </a:lnTo>
                                <a:lnTo>
                                  <a:pt x="gd27" y="gd28"/>
                                </a:lnTo>
                                <a:cubicBezTo>
                                  <a:pt x="96502"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2257" y="99999"/>
                                  <a:pt x="92257" y="99999"/>
                                  <a:pt x="92257" y="99999"/>
                                </a:cubicBezTo>
                                <a:lnTo>
                                  <a:pt x="gd59" y="gd60"/>
                                </a:lnTo>
                                <a:lnTo>
                                  <a:pt x="gd61" y="gd62"/>
                                </a:lnTo>
                                <a:cubicBezTo>
                                  <a:pt x="3495" y="99999"/>
                                  <a:pt x="0" y="95486"/>
                                  <a:pt x="0" y="90001"/>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76216" y="2857204"/>
                            <a:ext cx="1582105" cy="1077945"/>
                          </a:xfrm>
                          <a:prstGeom prst="rect">
                            <a:avLst/>
                          </a:prstGeom>
                          <a:noFill/>
                          <a:ln w="12700">
                            <a:solidFill>
                              <a:srgbClr val="0070C0"/>
                            </a:solidFill>
                            <a:prstDash val="solid"/>
                            <a:miter/>
                          </a:ln>
                        </wps:spPr>
                        <wps:txbx>
                          <w:txbxContent>
                            <w:p>
                              <w:r>
                                <w:rPr>
                                  <w:sz w:val="21"/>
                                  <w:szCs w:val="21"/>
                                </w:rPr>
                                <w:t xml:space="preserve">Работали без необходимых документов или не по указанной в патенте специальности</w:t>
                              </w:r>
                              <w:r/>
                            </w:p>
                          </w:txbxContent>
                        </wps:txbx>
                        <wps:bodyPr wrap="square" anchor="ctr"/>
                      </wps:wsp>
                      <wps:wsp>
                        <wps:cNvSpPr/>
                        <wps:spPr bwMode="auto">
                          <a:xfrm flipH="0" flipV="0">
                            <a:off x="1985097" y="2823653"/>
                            <a:ext cx="1235324" cy="921417"/>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7229"/>
                              <a:gd name="gd16" fmla="val 0"/>
                              <a:gd name="gd17" fmla="+- gd15 0 0"/>
                              <a:gd name="gd18" fmla="+- gd16 0 0"/>
                              <a:gd name="gd19" fmla="+- gd15 0 0"/>
                              <a:gd name="gd20" fmla="+- gd16 0 0"/>
                              <a:gd name="gd21" fmla="+- gd15 0 0"/>
                              <a:gd name="gd22" fmla="+- gd16 0 0"/>
                              <a:gd name="gd23" fmla="val gd21"/>
                              <a:gd name="gd24" fmla="val gd22"/>
                              <a:gd name="gd25" fmla="val 92769"/>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80004 0"/>
                              <a:gd name="gd37" fmla="val 100000"/>
                              <a:gd name="gd38" fmla="val 90002"/>
                              <a:gd name="gd39" fmla="+- gd37 0 0"/>
                              <a:gd name="gd40" fmla="+- gd38 0 0"/>
                              <a:gd name="gd41" fmla="+- gd37 0 0"/>
                              <a:gd name="gd42" fmla="+- gd38 0 0"/>
                              <a:gd name="gd43" fmla="+- gd37 0 0"/>
                              <a:gd name="gd44" fmla="+- gd38 0 0"/>
                              <a:gd name="gd45" fmla="val gd43"/>
                              <a:gd name="gd46" fmla="val gd44"/>
                              <a:gd name="gd47" fmla="val 100000"/>
                              <a:gd name="gd48" fmla="val 90002"/>
                              <a:gd name="gd49" fmla="+- gd47 0 0"/>
                              <a:gd name="gd50" fmla="+- gd48 5485 0"/>
                              <a:gd name="gd51" fmla="+- gd47 -3263 0"/>
                              <a:gd name="gd52" fmla="+- gd48 9998 0"/>
                              <a:gd name="gd53" fmla="+- gd47 -7229 0"/>
                              <a:gd name="gd54" fmla="+- gd48 9998 0"/>
                              <a:gd name="gd55" fmla="val gd53"/>
                              <a:gd name="gd56" fmla="val gd54"/>
                              <a:gd name="gd57" fmla="val 92771"/>
                              <a:gd name="gd58" fmla="val 100000"/>
                              <a:gd name="gd59" fmla="+- gd57 -85542 0"/>
                              <a:gd name="gd60" fmla="+- gd58 0 0"/>
                              <a:gd name="gd61" fmla="val 7229"/>
                              <a:gd name="gd62" fmla="val 100000"/>
                              <a:gd name="gd63" fmla="val 0"/>
                              <a:gd name="gd64" fmla="val 90002"/>
                              <a:gd name="gd65" fmla="+- gd63 0 0"/>
                              <a:gd name="gd66" fmla="+- gd64 0 0"/>
                              <a:gd name="gd67" fmla="+- gd63 0 0"/>
                              <a:gd name="gd68" fmla="+- gd64 0 0"/>
                              <a:gd name="gd69" fmla="+- gd63 0 0"/>
                              <a:gd name="gd70" fmla="+- gd64 0 0"/>
                              <a:gd name="gd71" fmla="val gd69"/>
                              <a:gd name="gd72" fmla="val gd70"/>
                              <a:gd name="gd73" fmla="*/ w 2115 100000"/>
                              <a:gd name="gd74" fmla="*/ h 2926 100000"/>
                              <a:gd name="gd75" fmla="*/ w 97881 100000"/>
                              <a:gd name="gd76" fmla="*/ h 97071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3263" y="0"/>
                                  <a:pt x="7229" y="0"/>
                                </a:cubicBezTo>
                                <a:cubicBezTo>
                                  <a:pt x="gd17" y="gd18"/>
                                  <a:pt x="gd19" y="gd20"/>
                                  <a:pt x="gd21" y="gd22"/>
                                </a:cubicBezTo>
                                <a:lnTo>
                                  <a:pt x="gd25" y="gd26"/>
                                </a:lnTo>
                                <a:lnTo>
                                  <a:pt x="gd27" y="gd28"/>
                                </a:lnTo>
                                <a:cubicBezTo>
                                  <a:pt x="96734"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2771" y="100000"/>
                                  <a:pt x="92771" y="100000"/>
                                  <a:pt x="92771" y="100000"/>
                                </a:cubicBezTo>
                                <a:lnTo>
                                  <a:pt x="gd59" y="gd60"/>
                                </a:lnTo>
                                <a:lnTo>
                                  <a:pt x="gd61" y="gd62"/>
                                </a:lnTo>
                                <a:cubicBezTo>
                                  <a:pt x="3263" y="100000"/>
                                  <a:pt x="0" y="95487"/>
                                  <a:pt x="0" y="90002"/>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2029100" y="2869155"/>
                            <a:ext cx="1137191" cy="856865"/>
                          </a:xfrm>
                          <a:prstGeom prst="rect">
                            <a:avLst/>
                          </a:prstGeom>
                          <a:noFill/>
                          <a:ln w="12700">
                            <a:solidFill>
                              <a:srgbClr val="0070C0"/>
                            </a:solidFill>
                            <a:prstDash val="solid"/>
                            <a:miter/>
                          </a:ln>
                        </wps:spPr>
                        <wps:txbx>
                          <w:txbxContent>
                            <w:p>
                              <w:r>
                                <w:rPr>
                                  <w:sz w:val="21"/>
                                  <w:szCs w:val="21"/>
                                </w:rPr>
                                <w:t xml:space="preserve">Указали в миграционной карте ложную цель въезда</w:t>
                              </w:r>
                              <w:r/>
                            </w:p>
                          </w:txbxContent>
                        </wps:txbx>
                        <wps:bodyPr wrap="square" anchor="ctr"/>
                      </wps:wsp>
                      <wps:wsp>
                        <wps:cNvSpPr/>
                        <wps:spPr bwMode="auto">
                          <a:xfrm flipH="0" flipV="0">
                            <a:off x="3124216" y="1262359"/>
                            <a:ext cx="1666841" cy="853935"/>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8"/>
                              <a:gd name="gd13" fmla="+- gd11 0 0"/>
                              <a:gd name="gd14" fmla="+- gd12 0 0"/>
                              <a:gd name="gd15" fmla="val 7229"/>
                              <a:gd name="gd16" fmla="val 0"/>
                              <a:gd name="gd17" fmla="+- gd15 0 0"/>
                              <a:gd name="gd18" fmla="+- gd16 0 0"/>
                              <a:gd name="gd19" fmla="+- gd15 0 0"/>
                              <a:gd name="gd20" fmla="+- gd16 0 0"/>
                              <a:gd name="gd21" fmla="+- gd15 0 0"/>
                              <a:gd name="gd22" fmla="+- gd16 0 0"/>
                              <a:gd name="gd23" fmla="val gd21"/>
                              <a:gd name="gd24" fmla="val gd22"/>
                              <a:gd name="gd25" fmla="val 92769"/>
                              <a:gd name="gd26" fmla="val 0"/>
                              <a:gd name="gd27" fmla="+- gd25 0 0"/>
                              <a:gd name="gd28" fmla="+- gd26 0 0"/>
                              <a:gd name="gd29" fmla="val 99998"/>
                              <a:gd name="gd30" fmla="val 9998"/>
                              <a:gd name="gd31" fmla="+- gd29 0 0"/>
                              <a:gd name="gd32" fmla="+- gd30 0 0"/>
                              <a:gd name="gd33" fmla="val 99998"/>
                              <a:gd name="gd34" fmla="val 9998"/>
                              <a:gd name="gd35" fmla="+- gd33 2 0"/>
                              <a:gd name="gd36" fmla="+- gd34 80004 0"/>
                              <a:gd name="gd37" fmla="val 100000"/>
                              <a:gd name="gd38" fmla="val 90002"/>
                              <a:gd name="gd39" fmla="+- gd37 0 0"/>
                              <a:gd name="gd40" fmla="+- gd38 0 0"/>
                              <a:gd name="gd41" fmla="+- gd37 0 0"/>
                              <a:gd name="gd42" fmla="+- gd38 0 0"/>
                              <a:gd name="gd43" fmla="+- gd37 0 0"/>
                              <a:gd name="gd44" fmla="+- gd38 0 0"/>
                              <a:gd name="gd45" fmla="val gd43"/>
                              <a:gd name="gd46" fmla="val gd44"/>
                              <a:gd name="gd47" fmla="val 100000"/>
                              <a:gd name="gd48" fmla="val 90002"/>
                              <a:gd name="gd49" fmla="+- gd47 0 0"/>
                              <a:gd name="gd50" fmla="+- gd48 5485 0"/>
                              <a:gd name="gd51" fmla="+- gd47 -3263 0"/>
                              <a:gd name="gd52" fmla="+- gd48 9998 0"/>
                              <a:gd name="gd53" fmla="+- gd47 -7229 0"/>
                              <a:gd name="gd54" fmla="+- gd48 9998 0"/>
                              <a:gd name="gd55" fmla="val gd53"/>
                              <a:gd name="gd56" fmla="val gd54"/>
                              <a:gd name="gd57" fmla="val 92771"/>
                              <a:gd name="gd58" fmla="val 100000"/>
                              <a:gd name="gd59" fmla="+- gd57 -85542 0"/>
                              <a:gd name="gd60" fmla="+- gd58 0 0"/>
                              <a:gd name="gd61" fmla="val 7229"/>
                              <a:gd name="gd62" fmla="val 100000"/>
                              <a:gd name="gd63" fmla="val 0"/>
                              <a:gd name="gd64" fmla="val 90002"/>
                              <a:gd name="gd65" fmla="+- gd63 0 0"/>
                              <a:gd name="gd66" fmla="+- gd64 0 0"/>
                              <a:gd name="gd67" fmla="+- gd63 0 0"/>
                              <a:gd name="gd68" fmla="+- gd64 0 0"/>
                              <a:gd name="gd69" fmla="+- gd63 0 0"/>
                              <a:gd name="gd70" fmla="+- gd64 0 0"/>
                              <a:gd name="gd71" fmla="val gd69"/>
                              <a:gd name="gd72" fmla="val gd70"/>
                              <a:gd name="gd73" fmla="*/ w 2115 100000"/>
                              <a:gd name="gd74" fmla="*/ h 2926 100000"/>
                              <a:gd name="gd75" fmla="*/ w 97881 100000"/>
                              <a:gd name="gd76" fmla="*/ h 97071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3263" y="0"/>
                                  <a:pt x="7229" y="0"/>
                                </a:cubicBezTo>
                                <a:cubicBezTo>
                                  <a:pt x="gd17" y="gd18"/>
                                  <a:pt x="gd19" y="gd20"/>
                                  <a:pt x="gd21" y="gd22"/>
                                </a:cubicBezTo>
                                <a:lnTo>
                                  <a:pt x="gd25" y="gd26"/>
                                </a:lnTo>
                                <a:lnTo>
                                  <a:pt x="gd27" y="gd28"/>
                                </a:lnTo>
                                <a:cubicBezTo>
                                  <a:pt x="96734" y="0"/>
                                  <a:pt x="99998" y="4513"/>
                                  <a:pt x="99998" y="9998"/>
                                </a:cubicBezTo>
                                <a:lnTo>
                                  <a:pt x="gd31" y="gd32"/>
                                </a:lnTo>
                                <a:cubicBezTo>
                                  <a:pt x="99998" y="9998"/>
                                  <a:pt x="99998" y="9998"/>
                                  <a:pt x="99998" y="9998"/>
                                </a:cubicBezTo>
                                <a:lnTo>
                                  <a:pt x="gd35" y="gd36"/>
                                </a:lnTo>
                                <a:lnTo>
                                  <a:pt x="gd37" y="gd38"/>
                                </a:lnTo>
                                <a:cubicBezTo>
                                  <a:pt x="gd39" y="gd40"/>
                                  <a:pt x="gd41" y="gd42"/>
                                  <a:pt x="gd43" y="gd44"/>
                                </a:cubicBezTo>
                                <a:lnTo>
                                  <a:pt x="gd47" y="gd48"/>
                                </a:lnTo>
                                <a:cubicBezTo>
                                  <a:pt x="gd49" y="gd50"/>
                                  <a:pt x="gd51" y="gd52"/>
                                  <a:pt x="gd53" y="gd54"/>
                                </a:cubicBezTo>
                                <a:cubicBezTo>
                                  <a:pt x="92771" y="100000"/>
                                  <a:pt x="92771" y="100000"/>
                                  <a:pt x="92771" y="100000"/>
                                </a:cubicBezTo>
                                <a:lnTo>
                                  <a:pt x="gd59" y="gd60"/>
                                </a:lnTo>
                                <a:lnTo>
                                  <a:pt x="gd61" y="gd62"/>
                                </a:lnTo>
                                <a:cubicBezTo>
                                  <a:pt x="3263" y="100000"/>
                                  <a:pt x="0" y="95487"/>
                                  <a:pt x="0" y="90002"/>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3166548" y="1269501"/>
                            <a:ext cx="1555749" cy="795510"/>
                          </a:xfrm>
                          <a:prstGeom prst="rect">
                            <a:avLst/>
                          </a:prstGeom>
                          <a:noFill/>
                          <a:ln w="12700">
                            <a:solidFill>
                              <a:srgbClr val="0070C0"/>
                            </a:solidFill>
                            <a:prstDash val="solid"/>
                            <a:miter/>
                          </a:ln>
                        </wps:spPr>
                        <wps:txbx>
                          <w:txbxContent>
                            <w:p>
                              <w:r>
                                <w:rPr>
                                  <w:sz w:val="21"/>
                                  <w:szCs w:val="21"/>
                                </w:rPr>
                                <w:t xml:space="preserve">Не имели при задержании полицией необходимых документов</w:t>
                              </w:r>
                              <w:r/>
                            </w:p>
                          </w:txbxContent>
                        </wps:txbx>
                        <wps:bodyPr wrap="square" anchor="ctr"/>
                      </wps:wsp>
                      <wps:wsp>
                        <wps:cNvSpPr/>
                        <wps:spPr bwMode="auto">
                          <a:xfrm flipH="0" flipV="0">
                            <a:off x="3428713" y="2476538"/>
                            <a:ext cx="1514744" cy="1154232"/>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9997"/>
                              <a:gd name="gd13" fmla="+- gd11 0 0"/>
                              <a:gd name="gd14" fmla="+- gd12 0 0"/>
                              <a:gd name="gd15" fmla="val 6171"/>
                              <a:gd name="gd16" fmla="val 0"/>
                              <a:gd name="gd17" fmla="+- gd15 0 0"/>
                              <a:gd name="gd18" fmla="+- gd16 0 0"/>
                              <a:gd name="gd19" fmla="+- gd15 0 0"/>
                              <a:gd name="gd20" fmla="+- gd16 0 0"/>
                              <a:gd name="gd21" fmla="+- gd15 0 0"/>
                              <a:gd name="gd22" fmla="+- gd16 0 0"/>
                              <a:gd name="gd23" fmla="val gd21"/>
                              <a:gd name="gd24" fmla="val gd22"/>
                              <a:gd name="gd25" fmla="val 93826"/>
                              <a:gd name="gd26" fmla="val 0"/>
                              <a:gd name="gd27" fmla="+- gd25 0 0"/>
                              <a:gd name="gd28" fmla="+- gd26 0 0"/>
                              <a:gd name="gd29" fmla="val 99998"/>
                              <a:gd name="gd30" fmla="val 9997"/>
                              <a:gd name="gd31" fmla="+- gd29 0 0"/>
                              <a:gd name="gd32" fmla="+- gd30 0 0"/>
                              <a:gd name="gd33" fmla="val 99998"/>
                              <a:gd name="gd34" fmla="val 9997"/>
                              <a:gd name="gd35" fmla="+- gd33 2 0"/>
                              <a:gd name="gd36" fmla="+- gd34 80002 0"/>
                              <a:gd name="gd37" fmla="val 100000"/>
                              <a:gd name="gd38" fmla="val 89999"/>
                              <a:gd name="gd39" fmla="+- gd37 0 0"/>
                              <a:gd name="gd40" fmla="+- gd38 0 0"/>
                              <a:gd name="gd41" fmla="+- gd37 0 0"/>
                              <a:gd name="gd42" fmla="+- gd38 0 0"/>
                              <a:gd name="gd43" fmla="+- gd37 0 0"/>
                              <a:gd name="gd44" fmla="+- gd38 0 0"/>
                              <a:gd name="gd45" fmla="val gd43"/>
                              <a:gd name="gd46" fmla="val gd44"/>
                              <a:gd name="gd47" fmla="val 100000"/>
                              <a:gd name="gd48" fmla="val 89999"/>
                              <a:gd name="gd49" fmla="+- gd47 0 0"/>
                              <a:gd name="gd50" fmla="+- gd48 5484 0"/>
                              <a:gd name="gd51" fmla="+- gd47 -2786 0"/>
                              <a:gd name="gd52" fmla="+- gd48 9997 0"/>
                              <a:gd name="gd53" fmla="+- gd47 -6171 0"/>
                              <a:gd name="gd54" fmla="+- gd48 9997 0"/>
                              <a:gd name="gd55" fmla="val gd53"/>
                              <a:gd name="gd56" fmla="val gd54"/>
                              <a:gd name="gd57" fmla="val 93829"/>
                              <a:gd name="gd58" fmla="val 99996"/>
                              <a:gd name="gd59" fmla="+- gd57 -87658 0"/>
                              <a:gd name="gd60" fmla="+- gd58 4 0"/>
                              <a:gd name="gd61" fmla="val 6171"/>
                              <a:gd name="gd62" fmla="val 100000"/>
                              <a:gd name="gd63" fmla="val 0"/>
                              <a:gd name="gd64" fmla="val 90003"/>
                              <a:gd name="gd65" fmla="+- gd63 0 0"/>
                              <a:gd name="gd66" fmla="+- gd64 0 0"/>
                              <a:gd name="gd67" fmla="+- gd63 0 0"/>
                              <a:gd name="gd68" fmla="+- gd64 0 0"/>
                              <a:gd name="gd69" fmla="+- gd63 0 0"/>
                              <a:gd name="gd70" fmla="+- gd64 0 0"/>
                              <a:gd name="gd71" fmla="val gd69"/>
                              <a:gd name="gd72" fmla="val gd70"/>
                              <a:gd name="gd73" fmla="*/ w 1807 100000"/>
                              <a:gd name="gd74" fmla="*/ h 2928 100000"/>
                              <a:gd name="gd75" fmla="*/ w 98189 100000"/>
                              <a:gd name="gd76" fmla="*/ h 97067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4513"/>
                                  <a:pt x="2786" y="0"/>
                                  <a:pt x="6171" y="0"/>
                                </a:cubicBezTo>
                                <a:cubicBezTo>
                                  <a:pt x="gd17" y="gd18"/>
                                  <a:pt x="gd19" y="gd20"/>
                                  <a:pt x="gd21" y="gd22"/>
                                </a:cubicBezTo>
                                <a:lnTo>
                                  <a:pt x="gd25" y="gd26"/>
                                </a:lnTo>
                                <a:lnTo>
                                  <a:pt x="gd27" y="gd28"/>
                                </a:lnTo>
                                <a:cubicBezTo>
                                  <a:pt x="97212" y="0"/>
                                  <a:pt x="99998" y="4513"/>
                                  <a:pt x="99998" y="9997"/>
                                </a:cubicBezTo>
                                <a:lnTo>
                                  <a:pt x="gd31" y="gd32"/>
                                </a:lnTo>
                                <a:cubicBezTo>
                                  <a:pt x="99998" y="9997"/>
                                  <a:pt x="99998" y="9997"/>
                                  <a:pt x="99998" y="9997"/>
                                </a:cubicBezTo>
                                <a:lnTo>
                                  <a:pt x="gd35" y="gd36"/>
                                </a:lnTo>
                                <a:lnTo>
                                  <a:pt x="gd37" y="gd38"/>
                                </a:lnTo>
                                <a:cubicBezTo>
                                  <a:pt x="gd39" y="gd40"/>
                                  <a:pt x="gd41" y="gd42"/>
                                  <a:pt x="gd43" y="gd44"/>
                                </a:cubicBezTo>
                                <a:lnTo>
                                  <a:pt x="gd47" y="gd48"/>
                                </a:lnTo>
                                <a:cubicBezTo>
                                  <a:pt x="gd49" y="gd50"/>
                                  <a:pt x="gd51" y="gd52"/>
                                  <a:pt x="gd53" y="gd54"/>
                                </a:cubicBezTo>
                                <a:cubicBezTo>
                                  <a:pt x="93829" y="99996"/>
                                  <a:pt x="93829" y="99996"/>
                                  <a:pt x="93829" y="99996"/>
                                </a:cubicBezTo>
                                <a:lnTo>
                                  <a:pt x="gd59" y="gd60"/>
                                </a:lnTo>
                                <a:lnTo>
                                  <a:pt x="gd61" y="gd62"/>
                                </a:lnTo>
                                <a:cubicBezTo>
                                  <a:pt x="2786" y="100000"/>
                                  <a:pt x="0" y="95487"/>
                                  <a:pt x="0" y="90003"/>
                                </a:cubicBezTo>
                                <a:cubicBezTo>
                                  <a:pt x="gd65" y="gd66"/>
                                  <a:pt x="gd67" y="gd68"/>
                                  <a:pt x="gd69" y="gd70"/>
                                </a:cubicBezTo>
                                <a:close/>
                              </a:path>
                              <a:path w="100000" h="100000" fill="norm" stroke="1" extrusionOk="0"/>
                            </a:pathLst>
                          </a:custGeom>
                          <a:solidFill>
                            <a:srgbClr val="4C83BA"/>
                          </a:solidFill>
                          <a:ln w="25400">
                            <a:solidFill>
                              <a:srgbClr val="FFFFFF"/>
                            </a:solidFill>
                          </a:ln>
                        </wps:spPr>
                        <wps:bodyPr rot="0">
                          <a:prstTxWarp prst="textNoShape">
                            <a:avLst/>
                          </a:prstTxWarp>
                          <a:noAutofit/>
                        </wps:bodyPr>
                      </wps:wsp>
                      <wps:wsp>
                        <wps:cNvSpPr/>
                        <wps:spPr bwMode="auto">
                          <a:xfrm rot="0" flipH="0" flipV="0">
                            <a:off x="3462883" y="2515823"/>
                            <a:ext cx="1440907" cy="1083772"/>
                          </a:xfrm>
                          <a:prstGeom prst="rect">
                            <a:avLst/>
                          </a:prstGeom>
                          <a:noFill/>
                          <a:ln w="12700">
                            <a:solidFill>
                              <a:srgbClr val="0070C0"/>
                            </a:solidFill>
                            <a:prstDash val="solid"/>
                            <a:miter/>
                          </a:ln>
                        </wps:spPr>
                        <wps:txbx>
                          <w:txbxContent>
                            <w:p>
                              <w:r>
                                <w:rPr>
                                  <w:sz w:val="21"/>
                                  <w:szCs w:val="21"/>
                                </w:rPr>
                                <w:t xml:space="preserve">Административный штраф или выдворение по ст.ст.18.8, 18.10, 18.15, 19.27 КоАП РФ</w:t>
                              </w:r>
                              <w:r/>
                            </w:p>
                          </w:txbxContent>
                        </wps:txbx>
                        <wps:bodyPr wrap="square" anchor="ctr"/>
                      </wps:wsp>
                    </wpg:wgp>
                  </a:graphicData>
                </a:graphic>
              </wp:inline>
            </w:drawing>
          </mc:Choice>
          <mc:Fallback>
            <w:pict>
              <v:group id="group 89" o:spid="_x0000_s0000" style="mso-wrap-distance-left:0.0pt;mso-wrap-distance-top:0.0pt;mso-wrap-distance-right:0.0pt;mso-wrap-distance-bottom:0.0pt;width:389.2pt;height:312.5pt;" coordorigin="0,0" coordsize="49434,39687">
                <v:shape id="shape 90" o:spid="_x0000_s90" style="position:absolute;left:40050;top:20992;width:1154;height:3772;" coordsize="100000,100000" path="m0,0l0,66977l100000,66977l100000,100000ee" filled="f" strokecolor="#3D6892" strokeweight="2.00pt">
                  <v:path textboxrect="0,0,0,0"/>
                </v:shape>
                <v:shape id="shape 91" o:spid="_x0000_s91" style="position:absolute;left:29127;top:8402;width:10921;height:4049;" coordsize="100000,100000" path="m0,0l0,69231l100000,69231l100000,99994ee" filled="f" strokecolor="#2C4D6E" strokeweight="2.00pt">
                  <v:path textboxrect="0,0,0,0"/>
                </v:shape>
                <v:shape id="shape 92" o:spid="_x0000_s92" style="position:absolute;left:17051;top:20854;width:8704;height:7837;" coordsize="100000,100000" path="m0,0l0,68147l100000,68147l100000,99996ee" filled="f" strokecolor="#3D6892" strokeweight="2.00pt">
                  <v:path textboxrect="0,0,0,0"/>
                </v:shape>
                <v:shape id="shape 93" o:spid="_x0000_s93" style="position:absolute;left:9833;top:24229;width:7217;height:4136;v-text-anchor:middle;" coordsize="100000,100000" path="m100000,0l100000,68144l0,68144l0,99994ee" filled="f" strokecolor="#3D6892" strokeweight="2.00pt">
                  <v:path textboxrect="0,0,0,0"/>
                  <v:textbox>
                    <w:txbxContent>
                      <w:p>
                        <w:pPr>
                          <w:jc w:val="center"/>
                        </w:pPr>
                        <w:r/>
                        <w:r/>
                      </w:p>
                    </w:txbxContent>
                  </v:textbox>
                </v:shape>
                <v:shape id="shape 94" o:spid="_x0000_s94" style="position:absolute;left:17051;top:8402;width:12075;height:3911;" coordsize="100000,100000" path="m100000,0l100000,68141l0,68141l0,99996ee" filled="f" strokecolor="#2C4D6E" strokeweight="2.00pt">
                  <v:path textboxrect="0,0,0,0"/>
                </v:shape>
                <v:shape id="shape 95" o:spid="_x0000_s95" style="position:absolute;left:19645;top:0;width:18963;height:8300;" coordsize="100000,100000" path="m0,9995l0,9995l0,9995c0,4511,2472,0,5479,0l5479,0c5479,0,5479,0,5479,0l94514,0l94514,0l94514,0c97521,0,99998,4511,99998,9995l99998,9995l99998,9995c99998,9995,99998,9995,99998,9995l100000,89993l100000,89993l100000,89993c100000,89993,100000,89993,100000,89993l100000,89993l100000,89993c100000,95477,97525,99993,94519,99993l94519,99993c94519,99993,94519,99993,94519,99993l5479,99998l5479,99998l5479,99998c2472,99998,0,95482,0,89998l0,89998c0,89998,0,89998,0,89998xee" fillcolor="#4C83BA" strokecolor="#FFFFFF" strokeweight="2.00pt">
                  <v:path textboxrect="1601,2924,98391,97068"/>
                </v:shape>
                <v:shape id="shape 96" o:spid="_x0000_s96" o:spt="1" style="position:absolute;left:19850;top:227;width:18270;height:7845;rotation:0;v-text-anchor:middle;" coordsize="100000,100000" path="" filled="f" strokecolor="#0070C0" strokeweight="1.00pt">
                  <v:path textboxrect="0,0,0,0"/>
                  <v:textbox>
                    <w:txbxContent>
                      <w:p>
                        <w:r>
                          <w:rPr>
                            <w:sz w:val="21"/>
                            <w:szCs w:val="21"/>
                          </w:rPr>
                          <w:t xml:space="preserve">Не оформили уведомление о постановке на миграционный учет</w:t>
                        </w:r>
                        <w:r/>
                      </w:p>
                    </w:txbxContent>
                  </v:textbox>
                </v:shape>
                <v:shape id="shape 97" o:spid="_x0000_s97" style="position:absolute;left:11145;top:12313;width:14911;height:8849;" coordsize="100000,100000" path="m0,9997l0,9997l0,9997c0,4513,3262,0,7227,0l7227,0c7227,0,7227,0,7227,0l92769,0l92769,0l92769,0c96734,0,99998,4513,99998,9997l99998,9997l99998,9997c99998,9997,99998,9997,99998,9997l100000,90001l100000,90001l100000,90001c100000,90001,100000,90001,100000,90001l100000,90001l100000,90001c100000,95485,96736,99998,92771,99998l92771,99998c92771,99998,92771,99998,92771,99998l7227,99998l7227,99998l7227,99998c3262,99998,0,95485,0,90001l0,90001c0,90001,0,90001,0,90001xee" fillcolor="#4C83BA" strokecolor="#FFFFFF" strokeweight="2.00pt">
                  <v:path textboxrect="2113,2925,97879,97069"/>
                </v:shape>
                <v:shape id="shape 98" o:spid="_x0000_s98" o:spt="1" style="position:absolute;left:11526;top:12822;width:14318;height:8170;rotation:0;v-text-anchor:middle;" coordsize="100000,100000" path="" filled="f" strokecolor="#0070C0" strokeweight="1.00pt">
                  <v:path textboxrect="0,0,0,0"/>
                  <v:textbox>
                    <w:txbxContent>
                      <w:p>
                        <w:r>
                          <w:rPr>
                            <w:sz w:val="21"/>
                            <w:szCs w:val="21"/>
                          </w:rPr>
                          <w:t xml:space="preserve">Указали ложные сведения при постановке на миграционный учет</w:t>
                        </w:r>
                        <w:r/>
                      </w:p>
                    </w:txbxContent>
                  </v:textbox>
                </v:shape>
                <v:shape id="shape 99" o:spid="_x0000_s99" style="position:absolute;left:0;top:28236;width:17051;height:11450;" coordsize="100000,100000" path="m0,9997l0,9997l0,9997c0,4512,3493,0,7741,0l7741,0c7741,0,7741,0,7741,0l92255,0l92255,0l92255,0c96500,0,99998,4512,99998,9997l99998,9997l99998,9997c99998,9997,99998,9997,99998,9997l100000,89998l100000,89998l100000,89998c100000,89998,100000,89998,100000,89998l100000,89998l100000,89998c100000,95483,96505,99999,92257,99999l92257,99999c92257,99999,92257,99999,92257,99999l7741,99999l7741,99999l7741,99999c3493,99999,0,95483,0,89998l0,89998c0,89998,0,89998,0,89998xee" fillcolor="#4C83BA" strokecolor="#FFFFFF" strokeweight="2.00pt">
                  <v:path textboxrect="2263,2923,97729,97068"/>
                </v:shape>
                <v:shape id="shape 100" o:spid="_x0000_s100" o:spt="1" style="position:absolute;left:762;top:28572;width:15821;height:10779;rotation:0;v-text-anchor:middle;" coordsize="100000,100000" path="" filled="f" strokecolor="#0070C0" strokeweight="1.00pt">
                  <v:path textboxrect="0,0,0,0"/>
                  <v:textbox>
                    <w:txbxContent>
                      <w:p>
                        <w:r>
                          <w:rPr>
                            <w:sz w:val="21"/>
                            <w:szCs w:val="21"/>
                          </w:rPr>
                          <w:t xml:space="preserve">Работали без необходимых документов или не по указанной в патенте специальности</w:t>
                        </w:r>
                        <w:r/>
                      </w:p>
                    </w:txbxContent>
                  </v:textbox>
                </v:shape>
                <v:shape id="shape 101" o:spid="_x0000_s101" style="position:absolute;left:19850;top:28236;width:12353;height:9214;" coordsize="100000,100000" path="m0,9996l0,9996l0,9996c0,4512,3262,0,7227,0l7227,0c7227,0,7227,0,7227,0l92769,0l92769,0l92769,0c96734,0,99998,4512,99998,9996l99998,9996l99998,9996c99998,9996,99998,9996,99998,9996l100000,89999l100000,89999l100000,89999c100000,89999,100000,89999,100000,89999l100000,89999l100000,89999c100000,95486,96736,99998,92771,99998l92771,99998c92771,99998,92771,99998,92771,99998l7227,99998l7227,99998l7227,99998c3262,99998,0,95486,0,89999l0,89999c0,89999,0,89999,0,89999xee" fillcolor="#4C83BA" strokecolor="#FFFFFF" strokeweight="2.00pt">
                  <v:path textboxrect="2113,2923,97879,97068"/>
                </v:shape>
                <v:shape id="shape 102" o:spid="_x0000_s102" o:spt="1" style="position:absolute;left:20291;top:28691;width:11371;height:8568;rotation:0;v-text-anchor:middle;" coordsize="100000,100000" path="" filled="f" strokecolor="#0070C0" strokeweight="1.00pt">
                  <v:path textboxrect="0,0,0,0"/>
                  <v:textbox>
                    <w:txbxContent>
                      <w:p>
                        <w:r>
                          <w:rPr>
                            <w:sz w:val="21"/>
                            <w:szCs w:val="21"/>
                          </w:rPr>
                          <w:t xml:space="preserve">Указали в миграционной карте ложную цель въезда</w:t>
                        </w:r>
                        <w:r/>
                      </w:p>
                    </w:txbxContent>
                  </v:textbox>
                </v:shape>
                <v:shape id="shape 103" o:spid="_x0000_s103" style="position:absolute;left:31242;top:12623;width:16668;height:8539;" coordsize="100000,100000" path="m0,9995l0,9995l0,9995c0,4509,3262,0,7227,0l7227,0c7227,0,7227,0,7227,0l92769,0l92769,0l92769,0c96734,0,99998,4509,99998,9995l99998,9995l99998,9995c99998,9995,99998,9995,99998,9995l100000,89998l100000,89998l100000,89998c100000,89998,100000,89998,100000,89998l100000,89998l100000,89998c100000,95483,96736,99997,92771,99997l92771,99997c92771,99997,92771,99997,92771,99997l7227,99997l7227,99997l7227,99997c3262,99997,0,95483,0,89998l0,89998c0,89998,0,89998,0,89998xee" fillcolor="#4C83BA" strokecolor="#FFFFFF" strokeweight="2.00pt">
                  <v:path textboxrect="2113,2923,97879,97068"/>
                </v:shape>
                <v:shape id="shape 104" o:spid="_x0000_s104" o:spt="1" style="position:absolute;left:31665;top:12695;width:15557;height:7955;rotation:0;v-text-anchor:middle;" coordsize="100000,100000" path="" filled="f" strokecolor="#0070C0" strokeweight="1.00pt">
                  <v:path textboxrect="0,0,0,0"/>
                  <v:textbox>
                    <w:txbxContent>
                      <w:p>
                        <w:r>
                          <w:rPr>
                            <w:sz w:val="21"/>
                            <w:szCs w:val="21"/>
                          </w:rPr>
                          <w:t xml:space="preserve">Не имели при задержании полицией необходимых документов</w:t>
                        </w:r>
                        <w:r/>
                      </w:p>
                    </w:txbxContent>
                  </v:textbox>
                </v:shape>
                <v:shape id="shape 105" o:spid="_x0000_s105" style="position:absolute;left:34287;top:24765;width:15147;height:11542;" coordsize="100000,100000" path="m0,9994l0,9994l0,9994c0,4511,2785,0,6169,0l6169,0c6169,0,6169,0,6169,0l93824,0l93824,0l93824,0c97211,0,99998,4511,99998,9994l99998,9994l99998,9994c99998,9994,99998,9994,99998,9994l100000,89999l100000,89999l100000,89999c100000,89999,100000,89999,100000,89999l100000,89999l100000,89999c100000,95482,97213,99993,93829,99993l93829,99993c93829,99993,93829,99993,93829,99993l6169,99999l6169,99999l6169,99999c2785,99999,0,95485,0,90002l0,90002c0,90002,0,90002,0,90002xee" fillcolor="#4C83BA" strokecolor="#FFFFFF" strokeweight="2.00pt">
                  <v:path textboxrect="1805,2925,98187,97064"/>
                </v:shape>
                <v:shape id="shape 106" o:spid="_x0000_s106" o:spt="1" style="position:absolute;left:34628;top:25158;width:14409;height:10837;rotation:0;v-text-anchor:middle;" coordsize="100000,100000" path="" filled="f" strokecolor="#0070C0" strokeweight="1.00pt">
                  <v:path textboxrect="0,0,0,0"/>
                  <v:textbox>
                    <w:txbxContent>
                      <w:p>
                        <w:r>
                          <w:rPr>
                            <w:sz w:val="21"/>
                            <w:szCs w:val="21"/>
                          </w:rPr>
                          <w:t xml:space="preserve">Административный штраф или выдворение по ст.ст.18.8, 18.10, 18.15, 19.27 КоАП РФ</w:t>
                        </w:r>
                        <w:r/>
                      </w:p>
                    </w:txbxContent>
                  </v:textbox>
                </v:shape>
              </v:group>
            </w:pict>
          </mc:Fallback>
        </mc:AlternateContent>
      </w:r>
      <w:r>
        <w:rPr>
          <w:rFonts w:ascii="Cambria" w:hAnsi="Cambria"/>
          <w:b/>
          <w:color w:val="000000"/>
        </w:rPr>
      </w:r>
      <w:r/>
    </w:p>
    <w:p>
      <w:pPr>
        <w:pStyle w:val="575"/>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АДМИНИСТРАТИВНАЯ ОТВЕТСТВЕННОСТЬ ЗА ПРАВОНАРУШЕНИЯ </w:t>
      </w:r>
      <w:r>
        <w:rPr>
          <w:rFonts w:ascii="Cambria" w:hAnsi="Cambria"/>
          <w:b/>
          <w:color w:val="000000"/>
        </w:rPr>
        <w:br/>
        <w:t xml:space="preserve">ЭКТСРЕМИСТСКОЙ НАПРАВЛЕННОСТИ</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jc w:val="center"/>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mc:AlternateContent>
          <mc:Choice Requires="wpg">
            <w:drawing>
              <wp:inline xmlns:wp="http://schemas.openxmlformats.org/drawingml/2006/wordprocessingDrawing" distT="0" distB="0" distL="0" distR="0">
                <wp:extent cx="5486400" cy="3468370"/>
                <wp:effectExtent l="0" t="0" r="0" b="0"/>
                <wp:docPr id="23" name="" hidden="false"/>
                <wp:cNvGraphicFramePr/>
                <a:graphic xmlns:a="http://schemas.openxmlformats.org/drawingml/2006/main">
                  <a:graphicData uri="http://schemas.microsoft.com/office/word/2010/wordprocessingGroup">
                    <wpg:wgp>
                      <wpg:cNvGrpSpPr/>
                      <wpg:grpSpPr bwMode="auto">
                        <a:xfrm>
                          <a:off x="0" y="0"/>
                          <a:ext cx="4585599" cy="3314184"/>
                          <a:chOff x="0" y="0"/>
                          <a:chExt cx="4585599" cy="3314184"/>
                        </a:xfrm>
                      </wpg:grpSpPr>
                      <wpg:grpSp>
                        <wpg:cNvGrpSpPr/>
                        <wpg:grpSpPr bwMode="auto">
                          <a:xfrm>
                            <a:off x="0" y="0"/>
                            <a:ext cx="4585500" cy="493552"/>
                            <a:chOff x="0" y="0"/>
                            <a:chExt cx="4585500" cy="493552"/>
                          </a:xfrm>
                        </wpg:grpSpPr>
                        <wps:wsp>
                          <wps:cNvSpPr/>
                          <wps:spPr bwMode="auto">
                            <a:xfrm>
                              <a:off x="0" y="0"/>
                              <a:ext cx="4576099" cy="493552"/>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16652"/>
                                <a:gd name="gd13" fmla="+- gd11 0 0"/>
                                <a:gd name="gd14" fmla="+- gd12 0 0"/>
                                <a:gd name="gd15" fmla="val 1796"/>
                                <a:gd name="gd16" fmla="val 0"/>
                                <a:gd name="gd17" fmla="+- gd15 0 0"/>
                                <a:gd name="gd18" fmla="+- gd16 0 0"/>
                                <a:gd name="gd19" fmla="+- gd15 0 0"/>
                                <a:gd name="gd20" fmla="+- gd16 0 0"/>
                                <a:gd name="gd21" fmla="+- gd15 0 0"/>
                                <a:gd name="gd22" fmla="+- gd16 0 0"/>
                                <a:gd name="gd23" fmla="val gd21"/>
                                <a:gd name="gd24" fmla="val gd22"/>
                                <a:gd name="gd25" fmla="val 98201"/>
                                <a:gd name="gd26" fmla="val 0"/>
                                <a:gd name="gd27" fmla="+- gd25 0 0"/>
                                <a:gd name="gd28" fmla="+- gd26 0 0"/>
                                <a:gd name="gd29" fmla="val 99998"/>
                                <a:gd name="gd30" fmla="val 16652"/>
                                <a:gd name="gd31" fmla="+- gd29 0 0"/>
                                <a:gd name="gd32" fmla="+- gd30 0 0"/>
                                <a:gd name="gd33" fmla="val 99998"/>
                                <a:gd name="gd34" fmla="val 16652"/>
                                <a:gd name="gd35" fmla="+- gd33 2 0"/>
                                <a:gd name="gd36" fmla="+- gd34 66670 0"/>
                                <a:gd name="gd37" fmla="val 100000"/>
                                <a:gd name="gd38" fmla="val 83322"/>
                                <a:gd name="gd39" fmla="+- gd37 0 0"/>
                                <a:gd name="gd40" fmla="+- gd38 0 0"/>
                                <a:gd name="gd41" fmla="+- gd37 0 0"/>
                                <a:gd name="gd42" fmla="+- gd38 0 0"/>
                                <a:gd name="gd43" fmla="+- gd37 0 0"/>
                                <a:gd name="gd44" fmla="+- gd38 0 0"/>
                                <a:gd name="gd45" fmla="val gd43"/>
                                <a:gd name="gd46" fmla="val gd44"/>
                                <a:gd name="gd47" fmla="val 100000"/>
                                <a:gd name="gd48" fmla="val 83322"/>
                                <a:gd name="gd49" fmla="+- gd47 0 0"/>
                                <a:gd name="gd50" fmla="+- gd48 9135 0"/>
                                <a:gd name="gd51" fmla="+- gd47 -811 0"/>
                                <a:gd name="gd52" fmla="+- gd48 16652 0"/>
                                <a:gd name="gd53" fmla="+- gd47 -1796 0"/>
                                <a:gd name="gd54" fmla="+- gd48 16652 0"/>
                                <a:gd name="gd55" fmla="val gd53"/>
                                <a:gd name="gd56" fmla="val gd54"/>
                                <a:gd name="gd57" fmla="val 98204"/>
                                <a:gd name="gd58" fmla="val 99974"/>
                                <a:gd name="gd59" fmla="+- gd57 -96408 0"/>
                                <a:gd name="gd60" fmla="+- gd58 21 0"/>
                                <a:gd name="gd61" fmla="val 1796"/>
                                <a:gd name="gd62" fmla="val 99995"/>
                                <a:gd name="gd63" fmla="val 0"/>
                                <a:gd name="gd64" fmla="val 83344"/>
                                <a:gd name="gd65" fmla="+- gd63 0 0"/>
                                <a:gd name="gd66" fmla="+- gd64 0 0"/>
                                <a:gd name="gd67" fmla="+- gd63 0 0"/>
                                <a:gd name="gd68" fmla="+- gd64 0 0"/>
                                <a:gd name="gd69" fmla="+- gd63 0 0"/>
                                <a:gd name="gd70" fmla="+- gd64 0 0"/>
                                <a:gd name="gd71" fmla="val gd69"/>
                                <a:gd name="gd72" fmla="val gd70"/>
                                <a:gd name="gd73" fmla="*/ w 525 100000"/>
                                <a:gd name="gd74" fmla="*/ h 4871 100000"/>
                                <a:gd name="gd75" fmla="*/ w 99472 100000"/>
                                <a:gd name="gd76" fmla="*/ h 95102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7517"/>
                                    <a:pt x="811" y="0"/>
                                    <a:pt x="1796" y="0"/>
                                  </a:cubicBezTo>
                                  <a:cubicBezTo>
                                    <a:pt x="gd17" y="gd18"/>
                                    <a:pt x="gd19" y="gd20"/>
                                    <a:pt x="gd21" y="gd22"/>
                                  </a:cubicBezTo>
                                  <a:lnTo>
                                    <a:pt x="gd25" y="gd26"/>
                                  </a:lnTo>
                                  <a:lnTo>
                                    <a:pt x="gd27" y="gd28"/>
                                  </a:lnTo>
                                  <a:cubicBezTo>
                                    <a:pt x="99187" y="0"/>
                                    <a:pt x="99998" y="7517"/>
                                    <a:pt x="99998" y="16652"/>
                                  </a:cubicBezTo>
                                  <a:lnTo>
                                    <a:pt x="gd31" y="gd32"/>
                                  </a:lnTo>
                                  <a:cubicBezTo>
                                    <a:pt x="99998" y="16652"/>
                                    <a:pt x="99998" y="16652"/>
                                    <a:pt x="99998" y="16652"/>
                                  </a:cubicBezTo>
                                  <a:lnTo>
                                    <a:pt x="gd35" y="gd36"/>
                                  </a:lnTo>
                                  <a:lnTo>
                                    <a:pt x="gd37" y="gd38"/>
                                  </a:lnTo>
                                  <a:cubicBezTo>
                                    <a:pt x="gd39" y="gd40"/>
                                    <a:pt x="gd41" y="gd42"/>
                                    <a:pt x="gd43" y="gd44"/>
                                  </a:cubicBezTo>
                                  <a:lnTo>
                                    <a:pt x="gd47" y="gd48"/>
                                  </a:lnTo>
                                  <a:cubicBezTo>
                                    <a:pt x="gd49" y="gd50"/>
                                    <a:pt x="gd51" y="gd52"/>
                                    <a:pt x="gd53" y="gd54"/>
                                  </a:cubicBezTo>
                                  <a:cubicBezTo>
                                    <a:pt x="98204" y="99974"/>
                                    <a:pt x="98204" y="99974"/>
                                    <a:pt x="98204" y="99974"/>
                                  </a:cubicBezTo>
                                  <a:lnTo>
                                    <a:pt x="gd59" y="gd60"/>
                                  </a:lnTo>
                                  <a:lnTo>
                                    <a:pt x="gd61" y="gd62"/>
                                  </a:lnTo>
                                  <a:cubicBezTo>
                                    <a:pt x="811" y="99995"/>
                                    <a:pt x="0" y="92479"/>
                                    <a:pt x="0" y="83344"/>
                                  </a:cubicBezTo>
                                  <a:cubicBezTo>
                                    <a:pt x="gd65" y="gd66"/>
                                    <a:pt x="gd67" y="gd68"/>
                                    <a:pt x="gd69" y="gd70"/>
                                  </a:cubicBezTo>
                                  <a:close/>
                                </a:path>
                                <a:path w="100000" h="100000" fill="norm" stroke="1" extrusionOk="0"/>
                              </a:pathLst>
                            </a:custGeom>
                            <a:solidFill>
                              <a:srgbClr val="1D4165"/>
                            </a:solidFill>
                            <a:ln>
                              <a:solidFill>
                                <a:srgbClr val="000000"/>
                              </a:solidFill>
                            </a:ln>
                          </wps:spPr>
                          <wps:txbx>
                            <w:txbxContent>
                              <w:p>
                                <w:pPr>
                                  <w:jc w:val="center"/>
                                </w:pPr>
                                <w:r/>
                                <w:r/>
                              </w:p>
                            </w:txbxContent>
                          </wps:txbx>
                          <wps:bodyPr wrap="square" anchor="ctr"/>
                        </wps:wsp>
                        <wps:wsp>
                          <wps:cNvSpPr/>
                          <wps:spPr bwMode="auto">
                            <a:xfrm>
                              <a:off x="27299" y="23997"/>
                              <a:ext cx="4558199" cy="445357"/>
                            </a:xfrm>
                            <a:prstGeom prst="rect">
                              <a:avLst/>
                            </a:prstGeom>
                            <a:noFill/>
                            <a:ln w="12700">
                              <a:solidFill>
                                <a:schemeClr val="tx2"/>
                              </a:solidFill>
                              <a:prstDash val="solid"/>
                              <a:miter/>
                            </a:ln>
                          </wps:spPr>
                          <wps:txbx>
                            <w:txbxContent>
                              <w:p>
                                <w:pPr>
                                  <w:jc w:val="both"/>
                                  <w:rPr>
                                    <w:b/>
                                    <w:sz w:val="22"/>
                                  </w:rPr>
                                </w:pPr>
                                <w:r>
                                  <w:rPr>
                                    <w:b/>
                                    <w:color w:val="FFFFFF"/>
                                    <w:sz w:val="22"/>
                                    <w:szCs w:val="21"/>
                                  </w:rPr>
                                  <w:t xml:space="preserve">СТ.20.3 КОАП РФ - </w:t>
                                </w:r>
                                <w:r>
                                  <w:rPr>
                                    <w:b w:val="false"/>
                                    <w:color w:val="FFFFFF"/>
                                    <w:sz w:val="22"/>
                                    <w:szCs w:val="21"/>
                                  </w:rPr>
                                  <w:t xml:space="preserve">ПРОПАГАНДА И ПУБЛИЧНОЕ ДЕМОНСТРИРОВАНИЕ НАЦИСТСКОЙ АТРИБУТИКИ ИЛИ СИМВОЛИКИ</w:t>
                                </w:r>
                                <w:r>
                                  <w:rPr>
                                    <w:sz w:val="22"/>
                                  </w:rPr>
                                </w:r>
                                <w:r/>
                              </w:p>
                            </w:txbxContent>
                          </wps:txbx>
                          <wps:bodyPr wrap="square" anchor="ctr"/>
                        </wps:wsp>
                      </wpg:grpSp>
                      <wpg:grpSp>
                        <wpg:cNvGrpSpPr/>
                        <wpg:grpSpPr bwMode="auto">
                          <a:xfrm>
                            <a:off x="0" y="758427"/>
                            <a:ext cx="4576099" cy="493552"/>
                            <a:chOff x="0" y="0"/>
                            <a:chExt cx="4576099" cy="493552"/>
                          </a:xfrm>
                        </wpg:grpSpPr>
                        <wps:wsp>
                          <wps:cNvSpPr/>
                          <wps:spPr bwMode="auto">
                            <a:xfrm>
                              <a:off x="0" y="0"/>
                              <a:ext cx="4576099" cy="493552"/>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16652"/>
                                <a:gd name="gd13" fmla="+- gd11 0 0"/>
                                <a:gd name="gd14" fmla="+- gd12 0 0"/>
                                <a:gd name="gd15" fmla="val 1796"/>
                                <a:gd name="gd16" fmla="val 0"/>
                                <a:gd name="gd17" fmla="+- gd15 0 0"/>
                                <a:gd name="gd18" fmla="+- gd16 0 0"/>
                                <a:gd name="gd19" fmla="+- gd15 0 0"/>
                                <a:gd name="gd20" fmla="+- gd16 0 0"/>
                                <a:gd name="gd21" fmla="+- gd15 0 0"/>
                                <a:gd name="gd22" fmla="+- gd16 0 0"/>
                                <a:gd name="gd23" fmla="val gd21"/>
                                <a:gd name="gd24" fmla="val gd22"/>
                                <a:gd name="gd25" fmla="val 98201"/>
                                <a:gd name="gd26" fmla="val 0"/>
                                <a:gd name="gd27" fmla="+- gd25 0 0"/>
                                <a:gd name="gd28" fmla="+- gd26 0 0"/>
                                <a:gd name="gd29" fmla="val 99998"/>
                                <a:gd name="gd30" fmla="val 16652"/>
                                <a:gd name="gd31" fmla="+- gd29 0 0"/>
                                <a:gd name="gd32" fmla="+- gd30 0 0"/>
                                <a:gd name="gd33" fmla="val 99998"/>
                                <a:gd name="gd34" fmla="val 16652"/>
                                <a:gd name="gd35" fmla="+- gd33 2 0"/>
                                <a:gd name="gd36" fmla="+- gd34 66670 0"/>
                                <a:gd name="gd37" fmla="val 100000"/>
                                <a:gd name="gd38" fmla="val 83322"/>
                                <a:gd name="gd39" fmla="+- gd37 0 0"/>
                                <a:gd name="gd40" fmla="+- gd38 0 0"/>
                                <a:gd name="gd41" fmla="+- gd37 0 0"/>
                                <a:gd name="gd42" fmla="+- gd38 0 0"/>
                                <a:gd name="gd43" fmla="+- gd37 0 0"/>
                                <a:gd name="gd44" fmla="+- gd38 0 0"/>
                                <a:gd name="gd45" fmla="val gd43"/>
                                <a:gd name="gd46" fmla="val gd44"/>
                                <a:gd name="gd47" fmla="val 100000"/>
                                <a:gd name="gd48" fmla="val 83322"/>
                                <a:gd name="gd49" fmla="+- gd47 0 0"/>
                                <a:gd name="gd50" fmla="+- gd48 9135 0"/>
                                <a:gd name="gd51" fmla="+- gd47 -811 0"/>
                                <a:gd name="gd52" fmla="+- gd48 16652 0"/>
                                <a:gd name="gd53" fmla="+- gd47 -1796 0"/>
                                <a:gd name="gd54" fmla="+- gd48 16652 0"/>
                                <a:gd name="gd55" fmla="val gd53"/>
                                <a:gd name="gd56" fmla="val gd54"/>
                                <a:gd name="gd57" fmla="val 98204"/>
                                <a:gd name="gd58" fmla="val 99974"/>
                                <a:gd name="gd59" fmla="+- gd57 -96408 0"/>
                                <a:gd name="gd60" fmla="+- gd58 21 0"/>
                                <a:gd name="gd61" fmla="val 1796"/>
                                <a:gd name="gd62" fmla="val 99995"/>
                                <a:gd name="gd63" fmla="val 0"/>
                                <a:gd name="gd64" fmla="val 83344"/>
                                <a:gd name="gd65" fmla="+- gd63 0 0"/>
                                <a:gd name="gd66" fmla="+- gd64 0 0"/>
                                <a:gd name="gd67" fmla="+- gd63 0 0"/>
                                <a:gd name="gd68" fmla="+- gd64 0 0"/>
                                <a:gd name="gd69" fmla="+- gd63 0 0"/>
                                <a:gd name="gd70" fmla="+- gd64 0 0"/>
                                <a:gd name="gd71" fmla="val gd69"/>
                                <a:gd name="gd72" fmla="val gd70"/>
                                <a:gd name="gd73" fmla="*/ w 525 100000"/>
                                <a:gd name="gd74" fmla="*/ h 4871 100000"/>
                                <a:gd name="gd75" fmla="*/ w 99472 100000"/>
                                <a:gd name="gd76" fmla="*/ h 95102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7517"/>
                                    <a:pt x="811" y="0"/>
                                    <a:pt x="1796" y="0"/>
                                  </a:cubicBezTo>
                                  <a:cubicBezTo>
                                    <a:pt x="gd17" y="gd18"/>
                                    <a:pt x="gd19" y="gd20"/>
                                    <a:pt x="gd21" y="gd22"/>
                                  </a:cubicBezTo>
                                  <a:lnTo>
                                    <a:pt x="gd25" y="gd26"/>
                                  </a:lnTo>
                                  <a:lnTo>
                                    <a:pt x="gd27" y="gd28"/>
                                  </a:lnTo>
                                  <a:cubicBezTo>
                                    <a:pt x="99187" y="0"/>
                                    <a:pt x="99998" y="7517"/>
                                    <a:pt x="99998" y="16652"/>
                                  </a:cubicBezTo>
                                  <a:lnTo>
                                    <a:pt x="gd31" y="gd32"/>
                                  </a:lnTo>
                                  <a:cubicBezTo>
                                    <a:pt x="99998" y="16652"/>
                                    <a:pt x="99998" y="16652"/>
                                    <a:pt x="99998" y="16652"/>
                                  </a:cubicBezTo>
                                  <a:lnTo>
                                    <a:pt x="gd35" y="gd36"/>
                                  </a:lnTo>
                                  <a:lnTo>
                                    <a:pt x="gd37" y="gd38"/>
                                  </a:lnTo>
                                  <a:cubicBezTo>
                                    <a:pt x="gd39" y="gd40"/>
                                    <a:pt x="gd41" y="gd42"/>
                                    <a:pt x="gd43" y="gd44"/>
                                  </a:cubicBezTo>
                                  <a:lnTo>
                                    <a:pt x="gd47" y="gd48"/>
                                  </a:lnTo>
                                  <a:cubicBezTo>
                                    <a:pt x="gd49" y="gd50"/>
                                    <a:pt x="gd51" y="gd52"/>
                                    <a:pt x="gd53" y="gd54"/>
                                  </a:cubicBezTo>
                                  <a:cubicBezTo>
                                    <a:pt x="98204" y="99974"/>
                                    <a:pt x="98204" y="99974"/>
                                    <a:pt x="98204" y="99974"/>
                                  </a:cubicBezTo>
                                  <a:lnTo>
                                    <a:pt x="gd59" y="gd60"/>
                                  </a:lnTo>
                                  <a:lnTo>
                                    <a:pt x="gd61" y="gd62"/>
                                  </a:lnTo>
                                  <a:cubicBezTo>
                                    <a:pt x="811" y="99995"/>
                                    <a:pt x="0" y="92479"/>
                                    <a:pt x="0" y="83344"/>
                                  </a:cubicBezTo>
                                  <a:cubicBezTo>
                                    <a:pt x="gd65" y="gd66"/>
                                    <a:pt x="gd67" y="gd68"/>
                                    <a:pt x="gd69" y="gd70"/>
                                  </a:cubicBezTo>
                                  <a:close/>
                                </a:path>
                                <a:path w="100000" h="100000" fill="norm" stroke="1" extrusionOk="0"/>
                              </a:pathLst>
                            </a:custGeom>
                            <a:solidFill>
                              <a:srgbClr val="1D4165"/>
                            </a:solidFill>
                            <a:ln>
                              <a:solidFill>
                                <a:srgbClr val="000000"/>
                              </a:solidFill>
                            </a:ln>
                          </wps:spPr>
                          <wps:bodyPr rot="0">
                            <a:prstTxWarp prst="textNoShape">
                              <a:avLst/>
                            </a:prstTxWarp>
                            <a:noAutofit/>
                          </wps:bodyPr>
                        </wps:wsp>
                        <wps:wsp>
                          <wps:cNvSpPr/>
                          <wps:spPr bwMode="auto">
                            <a:xfrm flipH="0" flipV="0">
                              <a:off x="27299" y="23997"/>
                              <a:ext cx="4501244" cy="445357"/>
                            </a:xfrm>
                            <a:prstGeom prst="rect">
                              <a:avLst/>
                            </a:prstGeom>
                            <a:noFill/>
                            <a:ln w="12700">
                              <a:solidFill>
                                <a:schemeClr val="tx2"/>
                              </a:solidFill>
                              <a:prstDash val="solid"/>
                              <a:miter/>
                            </a:ln>
                          </wps:spPr>
                          <wps:txbx>
                            <w:txbxContent>
                              <w:p>
                                <w:pPr>
                                  <w:jc w:val="both"/>
                                  <w:rPr>
                                    <w:b w:val="false"/>
                                    <w:sz w:val="22"/>
                                  </w:rPr>
                                </w:pPr>
                                <w:r>
                                  <w:rPr>
                                    <w:b/>
                                    <w:color w:val="FFFFFF"/>
                                    <w:sz w:val="22"/>
                                    <w:szCs w:val="21"/>
                                  </w:rPr>
                                  <w:t xml:space="preserve">СТ.20.29 КОАП РФ - </w:t>
                                </w:r>
                                <w:r>
                                  <w:rPr>
                                    <w:b w:val="false"/>
                                    <w:color w:val="FFFFFF"/>
                                    <w:sz w:val="22"/>
                                    <w:szCs w:val="21"/>
                                  </w:rPr>
                                  <w:t xml:space="preserve">ПРОИЗВОДСТВО ИЛИ РАСПРОСТРАНЕНИЕ ЭКТСРЕМИСТСКИХ МАТЕРИАЛОВ</w:t>
                                </w:r>
                                <w:r>
                                  <w:rPr>
                                    <w:b w:val="false"/>
                                    <w:sz w:val="22"/>
                                  </w:rPr>
                                </w:r>
                                <w:r/>
                              </w:p>
                            </w:txbxContent>
                          </wps:txbx>
                          <wps:bodyPr wrap="square" anchor="ctr"/>
                        </wps:wsp>
                      </wpg:grpSp>
                      <wpg:grpSp>
                        <wpg:cNvGrpSpPr/>
                        <wpg:grpSpPr bwMode="auto">
                          <a:xfrm>
                            <a:off x="18999" y="1516855"/>
                            <a:ext cx="4566600" cy="692533"/>
                            <a:chOff x="0" y="0"/>
                            <a:chExt cx="4566600" cy="692533"/>
                          </a:xfrm>
                        </wpg:grpSpPr>
                        <wps:wsp>
                          <wps:cNvSpPr/>
                          <wps:spPr bwMode="auto">
                            <a:xfrm>
                              <a:off x="0" y="0"/>
                              <a:ext cx="4566600" cy="692533"/>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16666"/>
                                <a:gd name="gd13" fmla="+- gd11 0 0"/>
                                <a:gd name="gd14" fmla="+- gd12 0 0"/>
                                <a:gd name="gd15" fmla="val 2528"/>
                                <a:gd name="gd16" fmla="val 0"/>
                                <a:gd name="gd17" fmla="+- gd15 0 0"/>
                                <a:gd name="gd18" fmla="+- gd16 0 0"/>
                                <a:gd name="gd19" fmla="+- gd15 0 0"/>
                                <a:gd name="gd20" fmla="+- gd16 0 0"/>
                                <a:gd name="gd21" fmla="+- gd15 0 0"/>
                                <a:gd name="gd22" fmla="+- gd16 0 0"/>
                                <a:gd name="gd23" fmla="val gd21"/>
                                <a:gd name="gd24" fmla="val gd22"/>
                                <a:gd name="gd25" fmla="val 97470"/>
                                <a:gd name="gd26" fmla="val 0"/>
                                <a:gd name="gd27" fmla="+- gd25 0 0"/>
                                <a:gd name="gd28" fmla="+- gd26 0 0"/>
                                <a:gd name="gd29" fmla="val 99998"/>
                                <a:gd name="gd30" fmla="val 16666"/>
                                <a:gd name="gd31" fmla="+- gd29 0 0"/>
                                <a:gd name="gd32" fmla="+- gd30 0 0"/>
                                <a:gd name="gd33" fmla="val 99998"/>
                                <a:gd name="gd34" fmla="val 16666"/>
                                <a:gd name="gd35" fmla="+- gd33 2 0"/>
                                <a:gd name="gd36" fmla="+- gd34 66663 0"/>
                                <a:gd name="gd37" fmla="val 100000"/>
                                <a:gd name="gd38" fmla="val 83329"/>
                                <a:gd name="gd39" fmla="+- gd37 0 0"/>
                                <a:gd name="gd40" fmla="+- gd38 0 0"/>
                                <a:gd name="gd41" fmla="+- gd37 0 0"/>
                                <a:gd name="gd42" fmla="+- gd38 0 0"/>
                                <a:gd name="gd43" fmla="+- gd37 0 0"/>
                                <a:gd name="gd44" fmla="+- gd38 0 0"/>
                                <a:gd name="gd45" fmla="val gd43"/>
                                <a:gd name="gd46" fmla="val gd44"/>
                                <a:gd name="gd47" fmla="val 100000"/>
                                <a:gd name="gd48" fmla="val 83329"/>
                                <a:gd name="gd49" fmla="+- gd47 0 0"/>
                                <a:gd name="gd50" fmla="+- gd48 9143 0"/>
                                <a:gd name="gd51" fmla="+- gd47 -1141 0"/>
                                <a:gd name="gd52" fmla="+- gd48 16666 0"/>
                                <a:gd name="gd53" fmla="+- gd47 -2528 0"/>
                                <a:gd name="gd54" fmla="+- gd48 16666 0"/>
                                <a:gd name="gd55" fmla="val gd53"/>
                                <a:gd name="gd56" fmla="val gd54"/>
                                <a:gd name="gd57" fmla="val 97472"/>
                                <a:gd name="gd58" fmla="val 99995"/>
                                <a:gd name="gd59" fmla="+- gd57 -94944 0"/>
                                <a:gd name="gd60" fmla="+- gd58 0 0"/>
                                <a:gd name="gd61" fmla="val 2528"/>
                                <a:gd name="gd62" fmla="val 99995"/>
                                <a:gd name="gd63" fmla="val 0"/>
                                <a:gd name="gd64" fmla="val 83329"/>
                                <a:gd name="gd65" fmla="+- gd63 0 0"/>
                                <a:gd name="gd66" fmla="+- gd64 0 0"/>
                                <a:gd name="gd67" fmla="+- gd63 0 0"/>
                                <a:gd name="gd68" fmla="+- gd64 0 0"/>
                                <a:gd name="gd69" fmla="+- gd63 0 0"/>
                                <a:gd name="gd70" fmla="+- gd64 0 0"/>
                                <a:gd name="gd71" fmla="val gd69"/>
                                <a:gd name="gd72" fmla="val gd70"/>
                                <a:gd name="gd73" fmla="*/ w 738 100000"/>
                                <a:gd name="gd74" fmla="*/ h 4868 100000"/>
                                <a:gd name="gd75" fmla="*/ w 99259 100000"/>
                                <a:gd name="gd76" fmla="*/ h 95111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7523"/>
                                    <a:pt x="1141" y="0"/>
                                    <a:pt x="2528" y="0"/>
                                  </a:cubicBezTo>
                                  <a:cubicBezTo>
                                    <a:pt x="gd17" y="gd18"/>
                                    <a:pt x="gd19" y="gd20"/>
                                    <a:pt x="gd21" y="gd22"/>
                                  </a:cubicBezTo>
                                  <a:lnTo>
                                    <a:pt x="gd25" y="gd26"/>
                                  </a:lnTo>
                                  <a:lnTo>
                                    <a:pt x="gd27" y="gd28"/>
                                  </a:lnTo>
                                  <a:cubicBezTo>
                                    <a:pt x="98857" y="0"/>
                                    <a:pt x="99998" y="7523"/>
                                    <a:pt x="99998" y="16666"/>
                                  </a:cubicBezTo>
                                  <a:lnTo>
                                    <a:pt x="gd31" y="gd32"/>
                                  </a:lnTo>
                                  <a:cubicBezTo>
                                    <a:pt x="99998" y="16666"/>
                                    <a:pt x="99998" y="16666"/>
                                    <a:pt x="99998" y="16666"/>
                                  </a:cubicBezTo>
                                  <a:lnTo>
                                    <a:pt x="gd35" y="gd36"/>
                                  </a:lnTo>
                                  <a:lnTo>
                                    <a:pt x="gd37" y="gd38"/>
                                  </a:lnTo>
                                  <a:cubicBezTo>
                                    <a:pt x="gd39" y="gd40"/>
                                    <a:pt x="gd41" y="gd42"/>
                                    <a:pt x="gd43" y="gd44"/>
                                  </a:cubicBezTo>
                                  <a:lnTo>
                                    <a:pt x="gd47" y="gd48"/>
                                  </a:lnTo>
                                  <a:cubicBezTo>
                                    <a:pt x="gd49" y="gd50"/>
                                    <a:pt x="gd51" y="gd52"/>
                                    <a:pt x="gd53" y="gd54"/>
                                  </a:cubicBezTo>
                                  <a:cubicBezTo>
                                    <a:pt x="97472" y="99995"/>
                                    <a:pt x="97472" y="99995"/>
                                    <a:pt x="97472" y="99995"/>
                                  </a:cubicBezTo>
                                  <a:lnTo>
                                    <a:pt x="gd59" y="gd60"/>
                                  </a:lnTo>
                                  <a:lnTo>
                                    <a:pt x="gd61" y="gd62"/>
                                  </a:lnTo>
                                  <a:cubicBezTo>
                                    <a:pt x="1141" y="99995"/>
                                    <a:pt x="0" y="92472"/>
                                    <a:pt x="0" y="83329"/>
                                  </a:cubicBezTo>
                                  <a:cubicBezTo>
                                    <a:pt x="gd65" y="gd66"/>
                                    <a:pt x="gd67" y="gd68"/>
                                    <a:pt x="gd69" y="gd70"/>
                                  </a:cubicBezTo>
                                  <a:close/>
                                </a:path>
                                <a:path w="100000" h="100000" fill="norm" stroke="1" extrusionOk="0"/>
                              </a:pathLst>
                            </a:custGeom>
                            <a:solidFill>
                              <a:srgbClr val="1D4165"/>
                            </a:solidFill>
                            <a:ln>
                              <a:solidFill>
                                <a:srgbClr val="000000"/>
                              </a:solidFill>
                            </a:ln>
                          </wps:spPr>
                          <wps:bodyPr rot="0">
                            <a:prstTxWarp prst="textNoShape">
                              <a:avLst/>
                            </a:prstTxWarp>
                            <a:noAutofit/>
                          </wps:bodyPr>
                        </wps:wsp>
                        <wps:wsp>
                          <wps:cNvSpPr/>
                          <wps:spPr bwMode="auto">
                            <a:xfrm flipH="0" flipV="0">
                              <a:off x="27299" y="23997"/>
                              <a:ext cx="4510599" cy="664314"/>
                            </a:xfrm>
                            <a:prstGeom prst="rect">
                              <a:avLst/>
                            </a:prstGeom>
                            <a:noFill/>
                            <a:ln w="12700">
                              <a:solidFill>
                                <a:schemeClr val="tx2"/>
                              </a:solidFill>
                              <a:prstDash val="solid"/>
                              <a:miter/>
                            </a:ln>
                          </wps:spPr>
                          <wps:txbx>
                            <w:txbxContent>
                              <w:p>
                                <w:pPr>
                                  <w:jc w:val="both"/>
                                  <w:rPr>
                                    <w:b w:val="false"/>
                                    <w:sz w:val="22"/>
                                  </w:rPr>
                                </w:pPr>
                                <w:r>
                                  <w:rPr>
                                    <w:b/>
                                    <w:color w:val="FFFFFF"/>
                                    <w:sz w:val="22"/>
                                    <w:szCs w:val="21"/>
                                  </w:rPr>
                                  <w:t xml:space="preserve">СТ.20.3.1. КОАП РФ - </w:t>
                                </w:r>
                                <w:r>
                                  <w:rPr>
                                    <w:b w:val="false"/>
                                    <w:color w:val="FFFFFF"/>
                                    <w:sz w:val="22"/>
                                    <w:szCs w:val="21"/>
                                  </w:rPr>
                                  <w:t xml:space="preserve">ВОЗБУЖДЕНИЕ НЕНАВИСТИ ЛИБО ВРАЖДЫ, А РАВНО УНИЖЕНИЕ ЧЕЛОВЕЧЕСКОГО ДОСТОИНСТВА, ЕСЛИ ЭТИ ДЕЙСТВИЯ НЕ СОДЕРЖАТ УГОЛОВНО НАКАЗУЕМОГО ДЕЯНИЯ</w:t>
                                </w:r>
                                <w:r>
                                  <w:rPr>
                                    <w:b w:val="false"/>
                                    <w:sz w:val="22"/>
                                  </w:rPr>
                                </w:r>
                                <w:r/>
                              </w:p>
                            </w:txbxContent>
                          </wps:txbx>
                          <wps:bodyPr wrap="square" anchor="ctr"/>
                        </wps:wsp>
                      </wpg:grpSp>
                      <wpg:grpSp>
                        <wpg:cNvGrpSpPr/>
                        <wpg:grpSpPr bwMode="auto">
                          <a:xfrm>
                            <a:off x="23199" y="2395872"/>
                            <a:ext cx="4562399" cy="918312"/>
                            <a:chOff x="0" y="0"/>
                            <a:chExt cx="4562399" cy="918312"/>
                          </a:xfrm>
                        </wpg:grpSpPr>
                        <wps:wsp>
                          <wps:cNvSpPr/>
                          <wps:spPr bwMode="auto">
                            <a:xfrm>
                              <a:off x="0" y="0"/>
                              <a:ext cx="4562399" cy="908813"/>
                            </a:xfrm>
                            <a:custGeom>
                              <a:avLst>
                                <a:gd name="adj0" fmla="val 3600"/>
                              </a:avLst>
                              <a:gdLst>
                                <a:gd name="gd0" fmla="val 65536"/>
                                <a:gd name="gd1" fmla="val adj0"/>
                                <a:gd name="gd2" fmla="+- 21600 0 adj0"/>
                                <a:gd name="gd3" fmla="+- 21600 0 adj0"/>
                                <a:gd name="gd4" fmla="*/ gd1 2929 10000"/>
                                <a:gd name="gd5" fmla="+- 21600 0 gd4"/>
                                <a:gd name="gd6" fmla="+- 21600 0 gd4"/>
                                <a:gd name="gd7" fmla="val 21600"/>
                                <a:gd name="gd8" fmla="val 21600"/>
                                <a:gd name="gd9" fmla="*/ 21600 1 2"/>
                                <a:gd name="gd10" fmla="*/ 21600 1 2"/>
                                <a:gd name="gd11" fmla="val 0"/>
                                <a:gd name="gd12" fmla="val 16662"/>
                                <a:gd name="gd13" fmla="+- gd11 0 0"/>
                                <a:gd name="gd14" fmla="+- gd12 0 0"/>
                                <a:gd name="gd15" fmla="val 3319"/>
                                <a:gd name="gd16" fmla="val 0"/>
                                <a:gd name="gd17" fmla="+- gd15 0 0"/>
                                <a:gd name="gd18" fmla="+- gd16 0 0"/>
                                <a:gd name="gd19" fmla="+- gd15 0 0"/>
                                <a:gd name="gd20" fmla="+- gd16 0 0"/>
                                <a:gd name="gd21" fmla="+- gd15 0 0"/>
                                <a:gd name="gd22" fmla="+- gd16 0 0"/>
                                <a:gd name="gd23" fmla="val gd21"/>
                                <a:gd name="gd24" fmla="val gd22"/>
                                <a:gd name="gd25" fmla="val 96678"/>
                                <a:gd name="gd26" fmla="val 0"/>
                                <a:gd name="gd27" fmla="+- gd25 0 0"/>
                                <a:gd name="gd28" fmla="+- gd26 0 0"/>
                                <a:gd name="gd29" fmla="val 99998"/>
                                <a:gd name="gd30" fmla="val 16662"/>
                                <a:gd name="gd31" fmla="+- gd29 0 0"/>
                                <a:gd name="gd32" fmla="+- gd30 0 0"/>
                                <a:gd name="gd33" fmla="val 99998"/>
                                <a:gd name="gd34" fmla="val 16662"/>
                                <a:gd name="gd35" fmla="+- gd33 2 0"/>
                                <a:gd name="gd36" fmla="+- gd34 66669 0"/>
                                <a:gd name="gd37" fmla="val 100000"/>
                                <a:gd name="gd38" fmla="val 83331"/>
                                <a:gd name="gd39" fmla="+- gd37 0 0"/>
                                <a:gd name="gd40" fmla="+- gd38 0 0"/>
                                <a:gd name="gd41" fmla="+- gd37 0 0"/>
                                <a:gd name="gd42" fmla="+- gd38 0 0"/>
                                <a:gd name="gd43" fmla="+- gd37 0 0"/>
                                <a:gd name="gd44" fmla="+- gd38 0 0"/>
                                <a:gd name="gd45" fmla="val gd43"/>
                                <a:gd name="gd46" fmla="val gd44"/>
                                <a:gd name="gd47" fmla="val 100000"/>
                                <a:gd name="gd48" fmla="val 83331"/>
                                <a:gd name="gd49" fmla="+- gd47 0 0"/>
                                <a:gd name="gd50" fmla="+- gd48 9140 0"/>
                                <a:gd name="gd51" fmla="+- gd47 -1498 0"/>
                                <a:gd name="gd52" fmla="+- gd48 16662 0"/>
                                <a:gd name="gd53" fmla="+- gd47 -3319 0"/>
                                <a:gd name="gd54" fmla="+- gd48 16662 0"/>
                                <a:gd name="gd55" fmla="val gd53"/>
                                <a:gd name="gd56" fmla="val gd54"/>
                                <a:gd name="gd57" fmla="val 96681"/>
                                <a:gd name="gd58" fmla="val 99993"/>
                                <a:gd name="gd59" fmla="+- gd57 -93362 0"/>
                                <a:gd name="gd60" fmla="+- gd58 11 0"/>
                                <a:gd name="gd61" fmla="val 3319"/>
                                <a:gd name="gd62" fmla="val 100004"/>
                                <a:gd name="gd63" fmla="val 0"/>
                                <a:gd name="gd64" fmla="val 83343"/>
                                <a:gd name="gd65" fmla="+- gd63 0 0"/>
                                <a:gd name="gd66" fmla="+- gd64 0 0"/>
                                <a:gd name="gd67" fmla="+- gd63 0 0"/>
                                <a:gd name="gd68" fmla="+- gd64 0 0"/>
                                <a:gd name="gd69" fmla="+- gd63 0 0"/>
                                <a:gd name="gd70" fmla="+- gd64 0 0"/>
                                <a:gd name="gd71" fmla="val gd69"/>
                                <a:gd name="gd72" fmla="val gd70"/>
                                <a:gd name="gd73" fmla="*/ w 972 100000"/>
                                <a:gd name="gd74" fmla="*/ h 4879 100000"/>
                                <a:gd name="gd75" fmla="*/ w 99025 100000"/>
                                <a:gd name="gd76" fmla="*/ h 95112 100000"/>
                                <a:gd name="gd77" fmla="*/ w adj0 100000"/>
                                <a:gd name="gd78" fmla="*/ h 0 1"/>
                              </a:gdLst>
                              <a:ahLst>
                                <a:ahXY gdRefX="adj0" minX="0" maxX="10800">
                                  <a:pos x="gd77" y="gd78"/>
                                </a:ahXY>
                              </a:ahLst>
                              <a:cxnLst/>
                              <a:rect l="gd73" t="gd74" r="gd75" b="gd76"/>
                              <a:pathLst>
                                <a:path w="100000" h="100000" fill="norm" stroke="1" extrusionOk="0">
                                  <a:moveTo>
                                    <a:pt x="gd11" y="gd12"/>
                                  </a:moveTo>
                                  <a:lnTo>
                                    <a:pt x="gd13" y="gd14"/>
                                  </a:lnTo>
                                  <a:cubicBezTo>
                                    <a:pt x="0" y="7521"/>
                                    <a:pt x="1498" y="0"/>
                                    <a:pt x="3319" y="0"/>
                                  </a:cubicBezTo>
                                  <a:cubicBezTo>
                                    <a:pt x="gd17" y="gd18"/>
                                    <a:pt x="gd19" y="gd20"/>
                                    <a:pt x="gd21" y="gd22"/>
                                  </a:cubicBezTo>
                                  <a:lnTo>
                                    <a:pt x="gd25" y="gd26"/>
                                  </a:lnTo>
                                  <a:lnTo>
                                    <a:pt x="gd27" y="gd28"/>
                                  </a:lnTo>
                                  <a:cubicBezTo>
                                    <a:pt x="98499" y="0"/>
                                    <a:pt x="99998" y="7521"/>
                                    <a:pt x="99998" y="16662"/>
                                  </a:cubicBezTo>
                                  <a:lnTo>
                                    <a:pt x="gd31" y="gd32"/>
                                  </a:lnTo>
                                  <a:cubicBezTo>
                                    <a:pt x="99998" y="16662"/>
                                    <a:pt x="99998" y="16662"/>
                                    <a:pt x="99998" y="16662"/>
                                  </a:cubicBezTo>
                                  <a:lnTo>
                                    <a:pt x="gd35" y="gd36"/>
                                  </a:lnTo>
                                  <a:lnTo>
                                    <a:pt x="gd37" y="gd38"/>
                                  </a:lnTo>
                                  <a:cubicBezTo>
                                    <a:pt x="gd39" y="gd40"/>
                                    <a:pt x="gd41" y="gd42"/>
                                    <a:pt x="gd43" y="gd44"/>
                                  </a:cubicBezTo>
                                  <a:lnTo>
                                    <a:pt x="gd47" y="gd48"/>
                                  </a:lnTo>
                                  <a:cubicBezTo>
                                    <a:pt x="gd49" y="gd50"/>
                                    <a:pt x="gd51" y="gd52"/>
                                    <a:pt x="gd53" y="gd54"/>
                                  </a:cubicBezTo>
                                  <a:cubicBezTo>
                                    <a:pt x="96681" y="99993"/>
                                    <a:pt x="96681" y="99993"/>
                                    <a:pt x="96681" y="99993"/>
                                  </a:cubicBezTo>
                                  <a:lnTo>
                                    <a:pt x="gd59" y="gd60"/>
                                  </a:lnTo>
                                  <a:lnTo>
                                    <a:pt x="gd61" y="gd62"/>
                                  </a:lnTo>
                                  <a:cubicBezTo>
                                    <a:pt x="1498" y="100004"/>
                                    <a:pt x="0" y="92483"/>
                                    <a:pt x="0" y="83343"/>
                                  </a:cubicBezTo>
                                  <a:cubicBezTo>
                                    <a:pt x="gd65" y="gd66"/>
                                    <a:pt x="gd67" y="gd68"/>
                                    <a:pt x="gd69" y="gd70"/>
                                  </a:cubicBezTo>
                                  <a:close/>
                                </a:path>
                                <a:path w="100000" h="100000" fill="norm" stroke="1" extrusionOk="0"/>
                              </a:pathLst>
                            </a:custGeom>
                            <a:solidFill>
                              <a:srgbClr val="1D4165"/>
                            </a:solidFill>
                            <a:ln>
                              <a:solidFill>
                                <a:srgbClr val="000000"/>
                              </a:solidFill>
                            </a:ln>
                          </wps:spPr>
                          <wps:bodyPr rot="0">
                            <a:prstTxWarp prst="textNoShape">
                              <a:avLst/>
                            </a:prstTxWarp>
                            <a:noAutofit/>
                          </wps:bodyPr>
                        </wps:wsp>
                        <wps:wsp>
                          <wps:cNvSpPr/>
                          <wps:spPr bwMode="auto">
                            <a:xfrm>
                              <a:off x="9499" y="67793"/>
                              <a:ext cx="4524300" cy="850518"/>
                            </a:xfrm>
                            <a:prstGeom prst="rect">
                              <a:avLst/>
                            </a:prstGeom>
                            <a:noFill/>
                            <a:ln w="12700">
                              <a:solidFill>
                                <a:schemeClr val="tx2"/>
                              </a:solidFill>
                              <a:prstDash val="solid"/>
                              <a:miter/>
                            </a:ln>
                          </wps:spPr>
                          <wps:txbx>
                            <w:txbxContent>
                              <w:p>
                                <w:pPr>
                                  <w:rPr>
                                    <w:b w:val="false"/>
                                  </w:rPr>
                                </w:pPr>
                                <w:r>
                                  <w:rPr>
                                    <w:b/>
                                    <w:color w:val="FFFFFF"/>
                                  </w:rPr>
                                  <w:t xml:space="preserve">СТ. 20.3.3 КОАП РФ</w:t>
                                </w:r>
                                <w:r>
                                  <w:rPr>
                                    <w:b w:val="false"/>
                                    <w:color w:val="FFFFFF"/>
                                  </w:rPr>
                                  <w:t xml:space="preserve"> - ДИСКРЕДИТАЦИЯ ДОБРОВОЛЬЧЕСКИХ ФОРМИРОВАНИЙ, ОРГАНИЗАЦИЙ ИЛИ ФИЗИЧЕСКИХ ЛИЦ, КОТОРЫЕ ВЫПОЛНЯЮТ ЗАДАЧИ ДЛЯ ВООРУЖЕННЫХ СИЛ РОССИЙСКОЙ ФЕДЕРАЦИИ</w:t>
                                </w:r>
                                <w:r>
                                  <w:rPr>
                                    <w:b w:val="false"/>
                                  </w:rPr>
                                </w:r>
                                <w:r/>
                              </w:p>
                            </w:txbxContent>
                          </wps:txbx>
                          <wps:bodyPr wrap="square" anchor="ctr"/>
                        </wps:wsp>
                      </wpg:grpSp>
                    </wpg:wgp>
                  </a:graphicData>
                </a:graphic>
              </wp:inline>
            </w:drawing>
          </mc:Choice>
          <mc:Fallback>
            <w:pict>
              <v:group id="group 107" o:spid="_x0000_s0000" style="mso-wrap-distance-left:0.0pt;mso-wrap-distance-top:0.0pt;mso-wrap-distance-right:0.0pt;mso-wrap-distance-bottom:0.0pt;width:432.0pt;height:273.1pt;" coordorigin="0,0" coordsize="45855,33141">
                <v:group id="group 108" o:spid="_x0000_s0000" style="position:absolute;left:0;top:0;width:45855;height:4935;" coordorigin="0,0" coordsize="45855,4935">
                  <v:shape id="shape 109" o:spid="_x0000_s109" style="position:absolute;left:0;top:0;width:45760;height:4935;v-text-anchor:middle;" coordsize="100000,100000" path="m0,16633l0,16633l0,16633c0,7512,810,0,1794,0l1794,0c1794,0,1794,0,1794,0l98199,0l98199,0l98199,0c99185,0,99998,7512,99998,16633l99998,16633l99998,16633c99998,16633,99998,16633,99998,16633l100000,83317l100000,83317l100000,83317c100000,83317,100000,83317,100000,83317l100000,83317l100000,83317c100000,92439,99188,99972,98204,99972l98204,99972c98204,99972,98204,99972,98204,99972l1794,99993l1794,99993l1794,99993c810,99993,0,92460,0,83339l0,83339c0,83339,0,83339,0,83339xee" fillcolor="#1D4165" strokecolor="#000000">
                    <v:path textboxrect="523,4850,99469,95099"/>
                    <v:textbox>
                      <w:txbxContent>
                        <w:p>
                          <w:pPr>
                            <w:jc w:val="center"/>
                          </w:pPr>
                          <w:r/>
                          <w:r/>
                        </w:p>
                      </w:txbxContent>
                    </v:textbox>
                  </v:shape>
                  <v:shape id="shape 110" o:spid="_x0000_s110" o:spt="1" style="position:absolute;left:272;top:239;width:45581;height:4453;v-text-anchor:middle;" coordsize="100000,100000" path="" filled="f" strokecolor="#1F497D" strokeweight="1.00pt">
                    <v:path textboxrect="0,0,0,0"/>
                    <v:textbox>
                      <w:txbxContent>
                        <w:p>
                          <w:pPr>
                            <w:jc w:val="both"/>
                            <w:rPr>
                              <w:b/>
                              <w:sz w:val="22"/>
                            </w:rPr>
                          </w:pPr>
                          <w:r>
                            <w:rPr>
                              <w:b/>
                              <w:color w:val="FFFFFF"/>
                              <w:sz w:val="22"/>
                              <w:szCs w:val="21"/>
                            </w:rPr>
                            <w:t xml:space="preserve">СТ.20.3 КОАП РФ - </w:t>
                          </w:r>
                          <w:r>
                            <w:rPr>
                              <w:b w:val="false"/>
                              <w:color w:val="FFFFFF"/>
                              <w:sz w:val="22"/>
                              <w:szCs w:val="21"/>
                            </w:rPr>
                            <w:t xml:space="preserve">ПРОПАГАНДА И ПУБЛИЧНОЕ ДЕМОНСТРИРОВАНИЕ НАЦИСТСКОЙ АТРИБУТИКИ ИЛИ СИМВОЛИКИ</w:t>
                          </w:r>
                          <w:r>
                            <w:rPr>
                              <w:sz w:val="22"/>
                            </w:rPr>
                          </w:r>
                          <w:r/>
                        </w:p>
                      </w:txbxContent>
                    </v:textbox>
                  </v:shape>
                </v:group>
                <v:group id="group 111" o:spid="_x0000_s0000" style="position:absolute;left:0;top:7584;width:45760;height:4935;" coordorigin="0,0" coordsize="45760,4935">
                  <v:shape id="shape 112" o:spid="_x0000_s112" style="position:absolute;left:0;top:0;width:45760;height:4935;" coordsize="100000,100000" path="m0,16633l0,16633l0,16633c0,7512,810,0,1794,0l1794,0c1794,0,1794,0,1794,0l98199,0l98199,0l98199,0c99185,0,99998,7512,99998,16633l99998,16633l99998,16633c99998,16633,99998,16633,99998,16633l100000,83317l100000,83317l100000,83317c100000,83317,100000,83317,100000,83317l100000,83317l100000,83317c100000,92439,99188,99972,98204,99972l98204,99972c98204,99972,98204,99972,98204,99972l1794,99993l1794,99993l1794,99993c810,99993,0,92460,0,83339l0,83339c0,83339,0,83339,0,83339xee" fillcolor="#1D4165" strokecolor="#000000">
                    <v:path textboxrect="523,4850,99469,95099"/>
                  </v:shape>
                  <v:shape id="shape 113" o:spid="_x0000_s113" o:spt="1" style="position:absolute;left:272;top:239;width:45012;height:4453;v-text-anchor:middle;" coordsize="100000,100000" path="" filled="f" strokecolor="#1F497D" strokeweight="1.00pt">
                    <v:path textboxrect="0,0,0,0"/>
                    <v:textbox>
                      <w:txbxContent>
                        <w:p>
                          <w:pPr>
                            <w:jc w:val="both"/>
                            <w:rPr>
                              <w:b w:val="false"/>
                              <w:sz w:val="22"/>
                            </w:rPr>
                          </w:pPr>
                          <w:r>
                            <w:rPr>
                              <w:b/>
                              <w:color w:val="FFFFFF"/>
                              <w:sz w:val="22"/>
                              <w:szCs w:val="21"/>
                            </w:rPr>
                            <w:t xml:space="preserve">СТ.20.29 КОАП РФ - </w:t>
                          </w:r>
                          <w:r>
                            <w:rPr>
                              <w:b w:val="false"/>
                              <w:color w:val="FFFFFF"/>
                              <w:sz w:val="22"/>
                              <w:szCs w:val="21"/>
                            </w:rPr>
                            <w:t xml:space="preserve">ПРОИЗВОДСТВО ИЛИ РАСПРОСТРАНЕНИЕ ЭКТСРЕМИСТСКИХ МАТЕРИАЛОВ</w:t>
                          </w:r>
                          <w:r>
                            <w:rPr>
                              <w:b w:val="false"/>
                              <w:sz w:val="22"/>
                            </w:rPr>
                          </w:r>
                          <w:r/>
                        </w:p>
                      </w:txbxContent>
                    </v:textbox>
                  </v:shape>
                </v:group>
                <v:group id="group 114" o:spid="_x0000_s0000" style="position:absolute;left:189;top:15168;width:45666;height:6925;" coordorigin="0,0" coordsize="45666,6925">
                  <v:shape id="shape 115" o:spid="_x0000_s115" style="position:absolute;left:0;top:0;width:45666;height:6925;" coordsize="100000,100000" path="m0,16653l0,16653l0,16653c0,7510,1139,0,2528,0l2528,0c2528,0,2528,0,2528,0l97470,0l97470,0l97470,0c98856,0,99998,7510,99998,16653l99998,16653l99998,16653c99998,16653,99998,16653,99998,16653l100000,83326l100000,83326l100000,83326c100000,83326,100000,83326,100000,83326l100000,83326l100000,83326c100000,92469,98859,99995,97470,99995l97470,99995c97470,99995,97470,99995,97470,99995l2528,99995l2528,99995l2528,99995c1139,99995,0,92469,0,83326l0,83326c0,83326,0,83326,0,83326xee" fillcolor="#1D4165" strokecolor="#000000">
                    <v:path textboxrect="736,4853,99256,95110"/>
                  </v:shape>
                  <v:shape id="shape 116" o:spid="_x0000_s116" o:spt="1" style="position:absolute;left:272;top:239;width:45105;height:6643;v-text-anchor:middle;" coordsize="100000,100000" path="" filled="f" strokecolor="#1F497D" strokeweight="1.00pt">
                    <v:path textboxrect="0,0,0,0"/>
                    <v:textbox>
                      <w:txbxContent>
                        <w:p>
                          <w:pPr>
                            <w:jc w:val="both"/>
                            <w:rPr>
                              <w:b w:val="false"/>
                              <w:sz w:val="22"/>
                            </w:rPr>
                          </w:pPr>
                          <w:r>
                            <w:rPr>
                              <w:b/>
                              <w:color w:val="FFFFFF"/>
                              <w:sz w:val="22"/>
                              <w:szCs w:val="21"/>
                            </w:rPr>
                            <w:t xml:space="preserve">СТ.20.3.1. КОАП РФ - </w:t>
                          </w:r>
                          <w:r>
                            <w:rPr>
                              <w:b w:val="false"/>
                              <w:color w:val="FFFFFF"/>
                              <w:sz w:val="22"/>
                              <w:szCs w:val="21"/>
                            </w:rPr>
                            <w:t xml:space="preserve">ВОЗБУЖДЕНИЕ НЕНАВИСТИ ЛИБО ВРАЖДЫ, А РАВНО УНИЖЕНИЕ ЧЕЛОВЕЧЕСКОГО ДОСТОИНСТВА, ЕСЛИ ЭТИ ДЕЙСТВИЯ НЕ СОДЕРЖАТ УГОЛОВНО НАКАЗУЕМОГО ДЕЯНИЯ</w:t>
                          </w:r>
                          <w:r>
                            <w:rPr>
                              <w:b w:val="false"/>
                              <w:sz w:val="22"/>
                            </w:rPr>
                          </w:r>
                          <w:r/>
                        </w:p>
                      </w:txbxContent>
                    </v:textbox>
                  </v:shape>
                </v:group>
                <v:group id="group 117" o:spid="_x0000_s0000" style="position:absolute;left:231;top:23958;width:45623;height:9183;" coordorigin="0,0" coordsize="45623,9183">
                  <v:shape id="shape 118" o:spid="_x0000_s118" style="position:absolute;left:0;top:0;width:45623;height:9088;" coordsize="100000,100000" path="m0,16653l0,16653l0,16653c0,7519,1498,0,3317,0l3317,0c3317,0,3317,0,3317,0l96676,0l96676,0l96676,0c98498,0,99998,7519,99998,16653l99998,16653l99998,16653c99998,16653,99998,16653,99998,16653l100000,83321l100000,83321l100000,83321c100000,83321,100000,83321,100000,83321l100000,83321l100000,83321c100000,92466,98500,99985,96681,99985l96681,99985c96681,99985,96681,99985,96681,99985l3317,99997l3317,99997l3317,99997c1498,99997,0,92478,0,83333l0,83333c0,83333,0,83333,0,83333xee" fillcolor="#1D4165" strokecolor="#000000">
                    <v:path textboxrect="969,4869,99023,95104"/>
                  </v:shape>
                  <v:shape id="shape 119" o:spid="_x0000_s119" o:spt="1" style="position:absolute;left:94;top:677;width:45243;height:8505;v-text-anchor:middle;" coordsize="100000,100000" path="" filled="f" strokecolor="#1F497D" strokeweight="1.00pt">
                    <v:path textboxrect="0,0,0,0"/>
                    <v:textbox>
                      <w:txbxContent>
                        <w:p>
                          <w:pPr>
                            <w:rPr>
                              <w:b w:val="false"/>
                            </w:rPr>
                          </w:pPr>
                          <w:r>
                            <w:rPr>
                              <w:b/>
                              <w:color w:val="FFFFFF"/>
                            </w:rPr>
                            <w:t xml:space="preserve">СТ. 20.3.3 КОАП РФ</w:t>
                          </w:r>
                          <w:r>
                            <w:rPr>
                              <w:b w:val="false"/>
                              <w:color w:val="FFFFFF"/>
                            </w:rPr>
                            <w:t xml:space="preserve"> - ДИСКРЕДИТАЦИЯ ДОБРОВОЛЬЧЕСКИХ ФОРМИРОВАНИЙ, ОРГАНИЗАЦИЙ ИЛИ ФИЗИЧЕСКИХ ЛИЦ, КОТОРЫЕ ВЫПОЛНЯЮТ ЗАДАЧИ ДЛЯ ВООРУЖЕННЫХ СИЛ РОССИЙСКОЙ ФЕДЕРАЦИИ</w:t>
                          </w:r>
                          <w:r>
                            <w:rPr>
                              <w:b w:val="false"/>
                            </w:rPr>
                          </w:r>
                          <w:r/>
                        </w:p>
                      </w:txbxContent>
                    </v:textbox>
                  </v:shape>
                </v:group>
              </v:group>
            </w:pict>
          </mc:Fallback>
        </mc:AlternateContent>
      </w:r>
      <w:r/>
    </w:p>
    <w:p>
      <w:pPr>
        <w:pStyle w:val="575"/>
        <w:jc w:val="center"/>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УГОЛОВНЫМ КОДЕКСОМ РОССИЙСКОЙ ФЕДЕРАЦИИ</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ПРЕДУСМОТРЕНА УГОЛОВНАЯ ОТВЕТСТВЕННОСТЬ</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ЗА СОВЕРШЕНИЕ ПРЕСТУПЛЕНИЙ ЭКСТРЕМИСТСКОГО И ТЕРРОРИСТИЧЕСКОГО ХАРАКТЕРА, КОТОРАЯ ВЛЕЧЕТ ЗА СОБОЙ НАКАЗАНИЕ</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В ВИДЕ ЛИШЕНИЯ СВОБОДЫ НА СРОК ОТ ПЯТИ ДО ДВАДЦАТИ ЛЕТ!</w:t>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-68897</wp:posOffset>
                </wp:positionH>
                <wp:positionV relativeFrom="paragraph">
                  <wp:posOffset>146983</wp:posOffset>
                </wp:positionV>
                <wp:extent cx="6257925" cy="381000"/>
                <wp:effectExtent l="12700" t="12700" r="12700" b="12700"/>
                <wp:wrapNone/>
                <wp:docPr id="24" name="" hidden="false"/>
                <wp:cNvGraphicFramePr/>
                <a:graphic xmlns:a="http://schemas.openxmlformats.org/drawingml/2006/main">
                  <a:graphicData uri="http://schemas.microsoft.com/office/word/2010/wordprocessingShape">
                    <wps:wsp>
                      <wps:cNvSpPr/>
                      <wps:spPr bwMode="auto">
                        <a:xfrm flipH="0" flipV="0">
                          <a:off x="0" y="0"/>
                          <a:ext cx="6257925" cy="380999"/>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sz w:val="28"/>
                              </w:rPr>
                            </w:pPr>
                            <w:r>
                              <w:rPr>
                                <w:b/>
                                <w:sz w:val="28"/>
                              </w:rPr>
                              <w:t xml:space="preserve">Статья 205. Террористический акт</w:t>
                            </w:r>
                            <w:r>
                              <w:rPr>
                                <w:b/>
                                <w:sz w:val="28"/>
                              </w:rPr>
                            </w:r>
                            <w:r/>
                          </w:p>
                        </w:txbxContent>
                      </wps:txbx>
                      <wps:bodyPr anchor="ctr"/>
                    </wps:wsp>
                  </a:graphicData>
                </a:graphic>
              </wp:anchor>
            </w:drawing>
          </mc:Choice>
          <mc:Fallback>
            <w:pict>
              <v:shape id="shape 120" o:spid="_x0000_s120"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1.6pt;mso-position-vertical:absolute;width:492.8pt;height:30.0pt;v-text-anchor:middle;" coordsize="100000,100000" path="" fillcolor="#4F81BD" strokecolor="#000000" strokeweight="2.00pt">
                <v:path textboxrect="0,0,0,0"/>
                <v:textbox>
                  <w:txbxContent>
                    <w:p>
                      <w:pPr>
                        <w:jc w:val="center"/>
                        <w:rPr>
                          <w:b/>
                          <w:sz w:val="28"/>
                        </w:rPr>
                      </w:pPr>
                      <w:r>
                        <w:rPr>
                          <w:b/>
                          <w:sz w:val="28"/>
                        </w:rPr>
                        <w:t xml:space="preserve">Статья 205. Террористический акт</w:t>
                      </w:r>
                      <w:r>
                        <w:rPr>
                          <w:b/>
                          <w:sz w:val="28"/>
                        </w:rPr>
                      </w:r>
                      <w:r/>
                    </w:p>
                  </w:txbxContent>
                </v:textbox>
              </v:shape>
            </w:pict>
          </mc:Fallback>
        </mc:AlternateContent>
      </w:r>
      <w:r>
        <w:rPr>
          <w:rFonts w:ascii="Cambria" w:hAnsi="Cambria"/>
          <w:b/>
          <w:color w:val="000000"/>
        </w:rPr>
      </w:r>
      <w:r/>
    </w:p>
    <w:p>
      <w:r/>
      <w:r/>
    </w:p>
    <w:p>
      <w:pPr>
        <w:pStyle w:val="575"/>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-68898</wp:posOffset>
                </wp:positionH>
                <wp:positionV relativeFrom="paragraph">
                  <wp:posOffset>43266</wp:posOffset>
                </wp:positionV>
                <wp:extent cx="6257925" cy="381000"/>
                <wp:effectExtent l="12700" t="12700" r="12700" b="12700"/>
                <wp:wrapNone/>
                <wp:docPr id="25" name="" hidden="false"/>
                <wp:cNvGraphicFramePr/>
                <a:graphic xmlns:a="http://schemas.openxmlformats.org/drawingml/2006/main">
                  <a:graphicData uri="http://schemas.microsoft.com/office/word/2010/wordprocessingShape">
                    <wps:wsp>
                      <wps:cNvSpPr/>
                      <wps:spPr bwMode="auto">
                        <a:xfrm flipH="0" flipV="0">
                          <a:off x="0" y="0"/>
                          <a:ext cx="6257923" cy="380999"/>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205.1. Содействие террористической деятельности</w:t>
                            </w:r>
                            <w:r>
                              <w:rPr>
                                <w:b/>
                                <w:i w:val="false"/>
                                <w:sz w:val="28"/>
                              </w:rPr>
                            </w:r>
                            <w:r/>
                          </w:p>
                        </w:txbxContent>
                      </wps:txbx>
                      <wps:bodyPr anchor="ctr"/>
                    </wps:wsp>
                  </a:graphicData>
                </a:graphic>
              </wp:anchor>
            </w:drawing>
          </mc:Choice>
          <mc:Fallback>
            <w:pict>
              <v:shape id="shape 121" o:spid="_x0000_s121"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3.4pt;mso-position-vertical:absolute;width:492.8pt;height:30.0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205.1. Содействие террористической деятельности</w:t>
                      </w:r>
                      <w:r>
                        <w:rPr>
                          <w:b/>
                          <w:i w:val="false"/>
                          <w:sz w:val="28"/>
                        </w:rPr>
                      </w:r>
                      <w:r/>
                    </w:p>
                  </w:txbxContent>
                </v:textbox>
              </v:shape>
            </w:pict>
          </mc:Fallback>
        </mc:AlternateContent>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-68896</wp:posOffset>
                </wp:positionH>
                <wp:positionV relativeFrom="paragraph">
                  <wp:posOffset>15429</wp:posOffset>
                </wp:positionV>
                <wp:extent cx="6257924" cy="634850"/>
                <wp:effectExtent l="12700" t="12700" r="12700" b="12700"/>
                <wp:wrapNone/>
                <wp:docPr id="26" name="" hidden="false"/>
                <wp:cNvGraphicFramePr/>
                <a:graphic xmlns:a="http://schemas.openxmlformats.org/drawingml/2006/main">
                  <a:graphicData uri="http://schemas.microsoft.com/office/word/2010/wordprocessingShape">
                    <wps:wsp>
                      <wps:cNvSpPr/>
                      <wps:spPr bwMode="auto">
                        <a:xfrm flipH="0" flipV="0">
                          <a:off x="0" y="0"/>
                          <a:ext cx="6257923" cy="634850"/>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205.2. Публичные призывы к осуществлению террористической деятельности или публичное оправдание терроризма</w:t>
                            </w:r>
                            <w:r>
                              <w:rPr>
                                <w:b/>
                                <w:i w:val="false"/>
                                <w:sz w:val="28"/>
                              </w:rPr>
                            </w:r>
                            <w:r/>
                          </w:p>
                        </w:txbxContent>
                      </wps:txbx>
                      <wps:bodyPr anchor="ctr"/>
                    </wps:wsp>
                  </a:graphicData>
                </a:graphic>
              </wp:anchor>
            </w:drawing>
          </mc:Choice>
          <mc:Fallback>
            <w:pict>
              <v:shape id="shape 122" o:spid="_x0000_s122"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2pt;mso-position-vertical:absolute;width:492.7pt;height:50.0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205.2. Публичные призывы к осуществлению террористической деятельности или публичное оправдание терроризма</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-68896</wp:posOffset>
                </wp:positionH>
                <wp:positionV relativeFrom="paragraph">
                  <wp:posOffset>167904</wp:posOffset>
                </wp:positionV>
                <wp:extent cx="6257924" cy="637874"/>
                <wp:effectExtent l="12700" t="12700" r="12700" b="12700"/>
                <wp:wrapNone/>
                <wp:docPr id="27" name="" hidden="false"/>
                <wp:cNvGraphicFramePr/>
                <a:graphic xmlns:a="http://schemas.openxmlformats.org/drawingml/2006/main">
                  <a:graphicData uri="http://schemas.microsoft.com/office/word/2010/wordprocessingShape">
                    <wps:wsp>
                      <wps:cNvSpPr/>
                      <wps:spPr bwMode="auto">
                        <a:xfrm flipH="0" flipV="0">
                          <a:off x="0" y="0"/>
                          <a:ext cx="6257923" cy="637874"/>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205.3. Прохождение обучения в целях осуществления террористической деятельности</w:t>
                            </w:r>
                            <w:r>
                              <w:rPr>
                                <w:b/>
                                <w:i w:val="false"/>
                                <w:sz w:val="28"/>
                              </w:rPr>
                            </w:r>
                            <w:r/>
                          </w:p>
                        </w:txbxContent>
                      </wps:txbx>
                      <wps:bodyPr anchor="ctr"/>
                    </wps:wsp>
                  </a:graphicData>
                </a:graphic>
              </wp:anchor>
            </w:drawing>
          </mc:Choice>
          <mc:Fallback>
            <w:pict>
              <v:shape id="shape 123" o:spid="_x0000_s123"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3.2pt;mso-position-vertical:absolute;width:492.7pt;height:50.2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205.3. Прохождение обучения в целях осуществления террористической деятельности</w:t>
                      </w:r>
                      <w:r>
                        <w:rPr>
                          <w:b/>
                          <w:i w:val="false"/>
                          <w:sz w:val="28"/>
                        </w:rPr>
                      </w:r>
                      <w:r/>
                    </w:p>
                  </w:txbxContent>
                </v:textbox>
              </v:shape>
            </w:pict>
          </mc:Fallback>
        </mc:AlternateContent>
      </w:r>
      <w:r>
        <w:rPr>
          <w:rFonts w:ascii="Cambria" w:hAnsi="Cambria"/>
          <w:b/>
          <w:color w:val="000000"/>
        </w:rPr>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-68896</wp:posOffset>
                </wp:positionH>
                <wp:positionV relativeFrom="paragraph">
                  <wp:posOffset>15033</wp:posOffset>
                </wp:positionV>
                <wp:extent cx="6257924" cy="526598"/>
                <wp:effectExtent l="12700" t="12700" r="12700" b="12700"/>
                <wp:wrapNone/>
                <wp:docPr id="28" name="" hidden="false"/>
                <wp:cNvGraphicFramePr/>
                <a:graphic xmlns:a="http://schemas.openxmlformats.org/drawingml/2006/main">
                  <a:graphicData uri="http://schemas.microsoft.com/office/word/2010/wordprocessingShape">
                    <wps:wsp>
                      <wps:cNvSpPr/>
                      <wps:spPr bwMode="auto">
                        <a:xfrm flipH="0" flipV="0">
                          <a:off x="0" y="0"/>
                          <a:ext cx="6257923" cy="526598"/>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205.4. Организация террористического сообщества и участие в нем</w:t>
                            </w:r>
                            <w:r>
                              <w:rPr>
                                <w:b/>
                                <w:i w:val="false"/>
                                <w:sz w:val="28"/>
                              </w:rPr>
                            </w:r>
                            <w:r/>
                          </w:p>
                        </w:txbxContent>
                      </wps:txbx>
                      <wps:bodyPr anchor="ctr"/>
                    </wps:wsp>
                  </a:graphicData>
                </a:graphic>
              </wp:anchor>
            </w:drawing>
          </mc:Choice>
          <mc:Fallback>
            <w:pict>
              <v:shape id="shape 124" o:spid="_x0000_s124"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2pt;mso-position-vertical:absolute;width:492.7pt;height:41.5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205.4. Организация террористического сообщества и участие в нем</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-68897</wp:posOffset>
                </wp:positionH>
                <wp:positionV relativeFrom="paragraph">
                  <wp:posOffset>120846</wp:posOffset>
                </wp:positionV>
                <wp:extent cx="6257924" cy="582048"/>
                <wp:effectExtent l="12700" t="12700" r="12700" b="12700"/>
                <wp:wrapNone/>
                <wp:docPr id="29" name="" hidden="false"/>
                <wp:cNvGraphicFramePr/>
                <a:graphic xmlns:a="http://schemas.openxmlformats.org/drawingml/2006/main">
                  <a:graphicData uri="http://schemas.microsoft.com/office/word/2010/wordprocessingShape">
                    <wps:wsp>
                      <wps:cNvSpPr/>
                      <wps:spPr bwMode="auto">
                        <a:xfrm flipH="0" flipV="0">
                          <a:off x="0" y="0"/>
                          <a:ext cx="6257923" cy="582048"/>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205.5. Организация деятельности террористической организации и участие в деятельности такой организации</w:t>
                            </w:r>
                            <w:r>
                              <w:rPr>
                                <w:b/>
                                <w:i w:val="false"/>
                                <w:sz w:val="28"/>
                              </w:rPr>
                            </w:r>
                            <w:r/>
                          </w:p>
                        </w:txbxContent>
                      </wps:txbx>
                      <wps:bodyPr anchor="ctr"/>
                    </wps:wsp>
                  </a:graphicData>
                </a:graphic>
              </wp:anchor>
            </w:drawing>
          </mc:Choice>
          <mc:Fallback>
            <w:pict>
              <v:shape id="shape 125" o:spid="_x0000_s125"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9.5pt;mso-position-vertical:absolute;width:492.7pt;height:45.8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205.5. Организация деятельности террористической организации и участие в деятельности такой организации</w:t>
                      </w:r>
                      <w:r>
                        <w:rPr>
                          <w:b/>
                          <w:i w:val="false"/>
                          <w:sz w:val="28"/>
                        </w:rPr>
                      </w:r>
                      <w:r/>
                    </w:p>
                  </w:txbxContent>
                </v:textbox>
              </v:shape>
            </w:pict>
          </mc:Fallback>
        </mc:AlternateContent>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-68898</wp:posOffset>
                </wp:positionH>
                <wp:positionV relativeFrom="paragraph">
                  <wp:posOffset>37237</wp:posOffset>
                </wp:positionV>
                <wp:extent cx="6257924" cy="456522"/>
                <wp:effectExtent l="12700" t="12700" r="12700" b="12700"/>
                <wp:wrapNone/>
                <wp:docPr id="30" name="" hidden="false"/>
                <wp:cNvGraphicFramePr/>
                <a:graphic xmlns:a="http://schemas.openxmlformats.org/drawingml/2006/main">
                  <a:graphicData uri="http://schemas.microsoft.com/office/word/2010/wordprocessingShape">
                    <wps:wsp>
                      <wps:cNvSpPr/>
                      <wps:spPr bwMode="auto">
                        <a:xfrm flipH="0" flipV="0">
                          <a:off x="0" y="0"/>
                          <a:ext cx="6257923" cy="456522"/>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206. Захват заложника</w:t>
                            </w:r>
                            <w:r>
                              <w:rPr>
                                <w:b/>
                                <w:i w:val="false"/>
                                <w:sz w:val="28"/>
                              </w:rPr>
                            </w:r>
                            <w:r/>
                          </w:p>
                        </w:txbxContent>
                      </wps:txbx>
                      <wps:bodyPr anchor="ctr"/>
                    </wps:wsp>
                  </a:graphicData>
                </a:graphic>
              </wp:anchor>
            </w:drawing>
          </mc:Choice>
          <mc:Fallback>
            <w:pict>
              <v:shape id="shape 126" o:spid="_x0000_s126"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2.9pt;mso-position-vertical:absolute;width:492.7pt;height:35.9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206. Захват заложника</w:t>
                      </w:r>
                      <w:r>
                        <w:rPr>
                          <w:b/>
                          <w:i w:val="false"/>
                          <w:sz w:val="28"/>
                        </w:rPr>
                      </w:r>
                      <w:r/>
                    </w:p>
                  </w:txbxContent>
                </v:textbox>
              </v:shape>
            </w:pict>
          </mc:Fallback>
        </mc:AlternateContent>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-68898</wp:posOffset>
                </wp:positionH>
                <wp:positionV relativeFrom="paragraph">
                  <wp:posOffset>58726</wp:posOffset>
                </wp:positionV>
                <wp:extent cx="6257924" cy="456523"/>
                <wp:effectExtent l="12700" t="12700" r="12700" b="12700"/>
                <wp:wrapNone/>
                <wp:docPr id="31" name="" hidden="false"/>
                <wp:cNvGraphicFramePr/>
                <a:graphic xmlns:a="http://schemas.openxmlformats.org/drawingml/2006/main">
                  <a:graphicData uri="http://schemas.microsoft.com/office/word/2010/wordprocessingShape">
                    <wps:wsp>
                      <wps:cNvSpPr/>
                      <wps:spPr bwMode="auto">
                        <a:xfrm flipH="0" flipV="0">
                          <a:off x="0" y="0"/>
                          <a:ext cx="6257923" cy="456521"/>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207. Заведомо ложное сообщение об акте терроризма</w:t>
                            </w:r>
                            <w:r>
                              <w:rPr>
                                <w:b/>
                                <w:i w:val="false"/>
                                <w:sz w:val="28"/>
                              </w:rPr>
                            </w:r>
                            <w:r/>
                          </w:p>
                        </w:txbxContent>
                      </wps:txbx>
                      <wps:bodyPr anchor="ctr"/>
                    </wps:wsp>
                  </a:graphicData>
                </a:graphic>
              </wp:anchor>
            </w:drawing>
          </mc:Choice>
          <mc:Fallback>
            <w:pict>
              <v:shape id="shape 127" o:spid="_x0000_s127"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4.6pt;mso-position-vertical:absolute;width:492.7pt;height:35.9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207. Заведомо ложное сообщение об акте терроризма</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-68898</wp:posOffset>
                </wp:positionH>
                <wp:positionV relativeFrom="paragraph">
                  <wp:posOffset>190618</wp:posOffset>
                </wp:positionV>
                <wp:extent cx="6257924" cy="581333"/>
                <wp:effectExtent l="12700" t="12700" r="12700" b="12700"/>
                <wp:wrapNone/>
                <wp:docPr id="32" name="" hidden="false"/>
                <wp:cNvGraphicFramePr/>
                <a:graphic xmlns:a="http://schemas.openxmlformats.org/drawingml/2006/main">
                  <a:graphicData uri="http://schemas.microsoft.com/office/word/2010/wordprocessingShape">
                    <wps:wsp>
                      <wps:cNvSpPr/>
                      <wps:spPr bwMode="auto">
                        <a:xfrm flipH="0" flipV="0">
                          <a:off x="0" y="0"/>
                          <a:ext cx="6257923" cy="581332"/>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208. Организация незаконного вооруженного формирования и участи в нем</w:t>
                            </w:r>
                            <w:r>
                              <w:rPr>
                                <w:b/>
                                <w:i w:val="false"/>
                                <w:sz w:val="28"/>
                              </w:rPr>
                            </w:r>
                            <w:r/>
                          </w:p>
                        </w:txbxContent>
                      </wps:txbx>
                      <wps:bodyPr anchor="ctr"/>
                    </wps:wsp>
                  </a:graphicData>
                </a:graphic>
              </wp:anchor>
            </w:drawing>
          </mc:Choice>
          <mc:Fallback>
            <w:pict>
              <v:shape id="shape 128" o:spid="_x0000_s128"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5.0pt;mso-position-vertical:absolute;width:492.7pt;height:45.8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208. Организация незаконного вооруженного формирования и участи в нем</w:t>
                      </w:r>
                      <w:r>
                        <w:rPr>
                          <w:b/>
                          <w:i w:val="false"/>
                          <w:sz w:val="28"/>
                        </w:rPr>
                      </w:r>
                      <w:r/>
                    </w:p>
                  </w:txbxContent>
                </v:textbox>
              </v:shape>
            </w:pict>
          </mc:Fallback>
        </mc:AlternateContent>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-68897</wp:posOffset>
                </wp:positionH>
                <wp:positionV relativeFrom="paragraph">
                  <wp:posOffset>154029</wp:posOffset>
                </wp:positionV>
                <wp:extent cx="6257924" cy="625633"/>
                <wp:effectExtent l="12700" t="12700" r="12700" b="12700"/>
                <wp:wrapNone/>
                <wp:docPr id="33" name="" hidden="false"/>
                <wp:cNvGraphicFramePr/>
                <a:graphic xmlns:a="http://schemas.openxmlformats.org/drawingml/2006/main">
                  <a:graphicData uri="http://schemas.microsoft.com/office/word/2010/wordprocessingShape">
                    <wps:wsp>
                      <wps:cNvSpPr/>
                      <wps:spPr bwMode="auto">
                        <a:xfrm flipH="0" flipV="0">
                          <a:off x="0" y="0"/>
                          <a:ext cx="6257923" cy="625632"/>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280. Публичные призывы к осуществлению экстремистской деятельности</w:t>
                            </w:r>
                            <w:r>
                              <w:rPr>
                                <w:b/>
                                <w:i w:val="false"/>
                                <w:sz w:val="28"/>
                              </w:rPr>
                            </w:r>
                            <w:r/>
                          </w:p>
                        </w:txbxContent>
                      </wps:txbx>
                      <wps:bodyPr anchor="ctr"/>
                    </wps:wsp>
                  </a:graphicData>
                </a:graphic>
              </wp:anchor>
            </w:drawing>
          </mc:Choice>
          <mc:Fallback>
            <w:pict>
              <v:shape id="shape 129" o:spid="_x0000_s129"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12.1pt;mso-position-vertical:absolute;width:492.7pt;height:49.3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280. Публичные призывы к осуществлению экстремистской деятельности</w:t>
                      </w:r>
                      <w:r>
                        <w:rPr>
                          <w:b/>
                          <w:i w:val="false"/>
                          <w:sz w:val="28"/>
                        </w:rPr>
                      </w:r>
                      <w:r/>
                    </w:p>
                  </w:txbxContent>
                </v:textbox>
              </v:shape>
            </w:pict>
          </mc:Fallback>
        </mc:AlternateContent>
      </w:r>
      <w:r>
        <w:rPr>
          <w:rFonts w:ascii="Cambria" w:hAnsi="Cambria"/>
          <w:b/>
          <w:color w:val="000000"/>
        </w:rPr>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-68897</wp:posOffset>
                </wp:positionH>
                <wp:positionV relativeFrom="paragraph">
                  <wp:posOffset>123508</wp:posOffset>
                </wp:positionV>
                <wp:extent cx="6257924" cy="735247"/>
                <wp:effectExtent l="12700" t="12700" r="12700" b="12700"/>
                <wp:wrapNone/>
                <wp:docPr id="34" name="" hidden="false"/>
                <wp:cNvGraphicFramePr/>
                <a:graphic xmlns:a="http://schemas.openxmlformats.org/drawingml/2006/main">
                  <a:graphicData uri="http://schemas.microsoft.com/office/word/2010/wordprocessingShape">
                    <wps:wsp>
                      <wps:cNvSpPr/>
                      <wps:spPr bwMode="auto">
                        <a:xfrm flipH="0" flipV="0">
                          <a:off x="0" y="0"/>
                          <a:ext cx="6257923" cy="735247"/>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280.1. Публичные призывы к осуществлению действий, направленных на нарушение территориальной целостности Российской Федерации</w:t>
                            </w:r>
                            <w:r>
                              <w:rPr>
                                <w:b/>
                                <w:i w:val="false"/>
                                <w:sz w:val="28"/>
                              </w:rPr>
                            </w:r>
                            <w:r/>
                          </w:p>
                        </w:txbxContent>
                      </wps:txbx>
                      <wps:bodyPr anchor="ctr"/>
                    </wps:wsp>
                  </a:graphicData>
                </a:graphic>
              </wp:anchor>
            </w:drawing>
          </mc:Choice>
          <mc:Fallback>
            <w:pict>
              <v:shape id="shape 130" o:spid="_x0000_s130" o:spt="1" style="position:absolute;mso-wrap-distance-left:9.1pt;mso-wrap-distance-top:0.0pt;mso-wrap-distance-right:9.1pt;mso-wrap-distance-bottom:0.0pt;z-index:502864896;o:allowoverlap:true;o:allowincell:true;mso-position-horizontal-relative:text;margin-left:-5.4pt;mso-position-horizontal:absolute;mso-position-vertical-relative:text;margin-top:9.7pt;mso-position-vertical:absolute;width:492.7pt;height:57.9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280.1. Публичные призывы к осуществлению действий, направленных на нарушение территориальной целостности Российской Федерации</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36883</wp:posOffset>
                </wp:positionV>
                <wp:extent cx="6257924" cy="1876394"/>
                <wp:effectExtent l="12700" t="12700" r="12700" b="12700"/>
                <wp:wrapNone/>
                <wp:docPr id="35" name="" hidden="false"/>
                <wp:cNvGraphicFramePr/>
                <a:graphic xmlns:a="http://schemas.openxmlformats.org/drawingml/2006/main">
                  <a:graphicData uri="http://schemas.microsoft.com/office/word/2010/wordprocessingShape">
                    <wps:wsp>
                      <wps:cNvSpPr/>
                      <wps:spPr bwMode="auto">
                        <a:xfrm flipH="0" flipV="0">
                          <a:off x="0" y="0"/>
                          <a:ext cx="6257923" cy="1876394"/>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280.3. Публичные действия, направленные на дисредитацию использования Вооруженных Сил Российской Федерации в целях защиты интересов РФ и ее граждан, п</w:t>
                            </w:r>
                            <w:r>
                              <w:rPr>
                                <w:b/>
                                <w:i w:val="false"/>
                                <w:sz w:val="28"/>
                              </w:rPr>
                              <w:t xml:space="preserve">оддержания международного мира и безопасности, исполнения государственными органами РФ своих полномочий,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r>
                              <w:rPr>
                                <w:b/>
                                <w:i w:val="false"/>
                                <w:sz w:val="28"/>
                              </w:rPr>
                            </w:r>
                            <w:r/>
                          </w:p>
                        </w:txbxContent>
                      </wps:txbx>
                      <wps:bodyPr anchor="ctr"/>
                    </wps:wsp>
                  </a:graphicData>
                </a:graphic>
              </wp:anchor>
            </w:drawing>
          </mc:Choice>
          <mc:Fallback>
            <w:pict>
              <v:shape id="shape 131" o:spid="_x0000_s131"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2.9pt;mso-position-vertical:absolute;width:492.7pt;height:147.7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280.3. Публичные действия, направленные на дисредитацию использования Вооруженных Сил Российской Федерации в целях защиты интересов РФ и ее граждан, п</w:t>
                      </w:r>
                      <w:r>
                        <w:rPr>
                          <w:b/>
                          <w:i w:val="false"/>
                          <w:sz w:val="28"/>
                        </w:rPr>
                        <w:t xml:space="preserve">оддержания международного мира и безопасности, исполнения государственными органами РФ своих полномочий,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r>
                        <w:rPr>
                          <w:b/>
                          <w:i w:val="false"/>
                          <w:sz w:val="28"/>
                        </w:rPr>
                      </w:r>
                      <w:r/>
                    </w:p>
                  </w:txbxContent>
                </v:textbox>
              </v:shape>
            </w:pict>
          </mc:Fallback>
        </mc:AlternateContent>
      </w:r>
      <w:r>
        <w:rPr>
          <w:rFonts w:ascii="Cambria" w:hAnsi="Cambria"/>
          <w:b/>
          <w:color w:val="000000"/>
        </w:rPr>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86029</wp:posOffset>
                </wp:positionV>
                <wp:extent cx="6257924" cy="638654"/>
                <wp:effectExtent l="12700" t="12700" r="12700" b="12700"/>
                <wp:wrapNone/>
                <wp:docPr id="36" name="" hidden="false"/>
                <wp:cNvGraphicFramePr/>
                <a:graphic xmlns:a="http://schemas.openxmlformats.org/drawingml/2006/main">
                  <a:graphicData uri="http://schemas.microsoft.com/office/word/2010/wordprocessingShape">
                    <wps:wsp>
                      <wps:cNvSpPr/>
                      <wps:spPr bwMode="auto">
                        <a:xfrm flipH="0" flipV="0">
                          <a:off x="0" y="0"/>
                          <a:ext cx="6257923" cy="638653"/>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282. ВОзбуждение ненависти, либо вражды, а равно унижение человеческого достоинства</w:t>
                            </w:r>
                            <w:r>
                              <w:rPr>
                                <w:b/>
                                <w:i w:val="false"/>
                                <w:sz w:val="28"/>
                              </w:rPr>
                            </w:r>
                            <w:r/>
                          </w:p>
                        </w:txbxContent>
                      </wps:txbx>
                      <wps:bodyPr anchor="ctr"/>
                    </wps:wsp>
                  </a:graphicData>
                </a:graphic>
              </wp:anchor>
            </w:drawing>
          </mc:Choice>
          <mc:Fallback>
            <w:pict>
              <v:shape id="shape 132" o:spid="_x0000_s132"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6.8pt;mso-position-vertical:absolute;width:492.7pt;height:50.3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282. ВОзбуждение ненависти, либо вражды, а равно унижение человеческого достоинства</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260976</wp:posOffset>
                </wp:positionV>
                <wp:extent cx="6257924" cy="426590"/>
                <wp:effectExtent l="12700" t="12700" r="12700" b="12700"/>
                <wp:wrapNone/>
                <wp:docPr id="37" name="" hidden="false"/>
                <wp:cNvGraphicFramePr/>
                <a:graphic xmlns:a="http://schemas.openxmlformats.org/drawingml/2006/main">
                  <a:graphicData uri="http://schemas.microsoft.com/office/word/2010/wordprocessingShape">
                    <wps:wsp>
                      <wps:cNvSpPr/>
                      <wps:spPr bwMode="auto">
                        <a:xfrm flipH="0" flipV="0">
                          <a:off x="0" y="0"/>
                          <a:ext cx="6257923" cy="426589"/>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282.1. Организация экстремистского сообщества</w:t>
                            </w:r>
                            <w:r>
                              <w:rPr>
                                <w:b/>
                                <w:i w:val="false"/>
                                <w:sz w:val="28"/>
                              </w:rPr>
                            </w:r>
                            <w:r/>
                          </w:p>
                        </w:txbxContent>
                      </wps:txbx>
                      <wps:bodyPr anchor="ctr"/>
                    </wps:wsp>
                  </a:graphicData>
                </a:graphic>
              </wp:anchor>
            </w:drawing>
          </mc:Choice>
          <mc:Fallback>
            <w:pict>
              <v:shape id="shape 133" o:spid="_x0000_s133"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20.5pt;mso-position-vertical:absolute;width:492.7pt;height:33.6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282.1. Организация экстремистского сообщества</w:t>
                      </w:r>
                      <w:r>
                        <w:rPr>
                          <w:b/>
                          <w:i w:val="false"/>
                          <w:sz w:val="28"/>
                        </w:rPr>
                      </w:r>
                      <w:r/>
                    </w:p>
                  </w:txbxContent>
                </v:textbox>
              </v:shape>
            </w:pict>
          </mc:Fallback>
        </mc:AlternateContent>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86426</wp:posOffset>
                </wp:positionV>
                <wp:extent cx="6257924" cy="426590"/>
                <wp:effectExtent l="12700" t="12700" r="12700" b="12700"/>
                <wp:wrapNone/>
                <wp:docPr id="38" name="" hidden="false"/>
                <wp:cNvGraphicFramePr/>
                <a:graphic xmlns:a="http://schemas.openxmlformats.org/drawingml/2006/main">
                  <a:graphicData uri="http://schemas.microsoft.com/office/word/2010/wordprocessingShape">
                    <wps:wsp>
                      <wps:cNvSpPr/>
                      <wps:spPr bwMode="auto">
                        <a:xfrm flipH="0" flipV="0">
                          <a:off x="0" y="0"/>
                          <a:ext cx="6257923" cy="426588"/>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282.2. Организация деятельности экстремистской организации</w:t>
                            </w:r>
                            <w:r>
                              <w:rPr>
                                <w:b/>
                                <w:i w:val="false"/>
                                <w:sz w:val="28"/>
                              </w:rPr>
                            </w:r>
                            <w:r/>
                          </w:p>
                        </w:txbxContent>
                      </wps:txbx>
                      <wps:bodyPr anchor="ctr"/>
                    </wps:wsp>
                  </a:graphicData>
                </a:graphic>
              </wp:anchor>
            </w:drawing>
          </mc:Choice>
          <mc:Fallback>
            <w:pict>
              <v:shape id="shape 134" o:spid="_x0000_s134"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6.8pt;mso-position-vertical:absolute;width:492.7pt;height:33.6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282.2. Организация деятельности экстремистской организации</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49701</wp:posOffset>
                </wp:positionV>
                <wp:extent cx="6257924" cy="426589"/>
                <wp:effectExtent l="12700" t="12700" r="12700" b="12700"/>
                <wp:wrapNone/>
                <wp:docPr id="39" name="" hidden="false"/>
                <wp:cNvGraphicFramePr/>
                <a:graphic xmlns:a="http://schemas.openxmlformats.org/drawingml/2006/main">
                  <a:graphicData uri="http://schemas.microsoft.com/office/word/2010/wordprocessingShape">
                    <wps:wsp>
                      <wps:cNvSpPr/>
                      <wps:spPr bwMode="auto">
                        <a:xfrm flipH="0" flipV="0">
                          <a:off x="0" y="0"/>
                          <a:ext cx="6257922" cy="426588"/>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282.3. Финансирование экстремистской деятельности</w:t>
                            </w:r>
                            <w:r>
                              <w:rPr>
                                <w:b/>
                                <w:i w:val="false"/>
                                <w:sz w:val="28"/>
                              </w:rPr>
                            </w:r>
                            <w:r/>
                          </w:p>
                        </w:txbxContent>
                      </wps:txbx>
                      <wps:bodyPr anchor="ctr"/>
                    </wps:wsp>
                  </a:graphicData>
                </a:graphic>
              </wp:anchor>
            </w:drawing>
          </mc:Choice>
          <mc:Fallback>
            <w:pict>
              <v:shape id="shape 135" o:spid="_x0000_s135"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3.9pt;mso-position-vertical:absolute;width:492.7pt;height:33.6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282.3. Финансирование экстремистской деятельности</w:t>
                      </w:r>
                      <w:r>
                        <w:rPr>
                          <w:b/>
                          <w:i w:val="false"/>
                          <w:sz w:val="28"/>
                        </w:rPr>
                      </w:r>
                      <w:r/>
                    </w:p>
                  </w:txbxContent>
                </v:textbox>
              </v:shape>
            </w:pict>
          </mc:Fallback>
        </mc:AlternateContent>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4211</wp:posOffset>
                </wp:positionV>
                <wp:extent cx="6257924" cy="1083185"/>
                <wp:effectExtent l="12700" t="12700" r="12700" b="12700"/>
                <wp:wrapNone/>
                <wp:docPr id="40" name="" hidden="false"/>
                <wp:cNvGraphicFramePr/>
                <a:graphic xmlns:a="http://schemas.openxmlformats.org/drawingml/2006/main">
                  <a:graphicData uri="http://schemas.microsoft.com/office/word/2010/wordprocessingShape">
                    <wps:wsp>
                      <wps:cNvSpPr/>
                      <wps:spPr bwMode="auto">
                        <a:xfrm flipH="0" flipV="0">
                          <a:off x="0" y="0"/>
                          <a:ext cx="6257923" cy="1083185"/>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282.4. Неоднократные пропаганда либо публичное демонстрирование нацисткой атрибутики или символики, либо атрибутики или символики экстремистских организаций</w:t>
                            </w:r>
                            <w:r>
                              <w:rPr>
                                <w:b/>
                                <w:i w:val="false"/>
                                <w:sz w:val="28"/>
                              </w:rPr>
                              <w:t xml:space="preserve">, либо иной арибутики или символики, пропаганда которых запрещены федеральными законами</w:t>
                            </w:r>
                            <w:r>
                              <w:rPr>
                                <w:b/>
                                <w:i w:val="false"/>
                                <w:sz w:val="28"/>
                              </w:rPr>
                            </w:r>
                            <w:r/>
                          </w:p>
                        </w:txbxContent>
                      </wps:txbx>
                      <wps:bodyPr anchor="ctr"/>
                    </wps:wsp>
                  </a:graphicData>
                </a:graphic>
              </wp:anchor>
            </w:drawing>
          </mc:Choice>
          <mc:Fallback>
            <w:pict>
              <v:shape id="shape 136" o:spid="_x0000_s136"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0.3pt;mso-position-vertical:absolute;width:492.7pt;height:85.3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282.4. Неоднократные пропаганда либо публичное демонстрирование нацисткой атрибутики или символики, либо атрибутики или символики экстремистских организаций</w:t>
                      </w:r>
                      <w:r>
                        <w:rPr>
                          <w:b/>
                          <w:i w:val="false"/>
                          <w:sz w:val="28"/>
                        </w:rPr>
                        <w:t xml:space="preserve">, либо иной арибутики или символики, пропаганда которых запрещены федеральными законами</w:t>
                      </w:r>
                      <w:r>
                        <w:rPr>
                          <w:b/>
                          <w:i w:val="false"/>
                          <w:sz w:val="28"/>
                        </w:rPr>
                      </w:r>
                      <w:r/>
                    </w:p>
                  </w:txbxContent>
                </v:textbox>
              </v:shape>
            </w:pict>
          </mc:Fallback>
        </mc:AlternateContent>
      </w:r>
      <w:r>
        <w:rPr>
          <w:rFonts w:ascii="Cambria" w:hAnsi="Cambria"/>
          <w:b/>
          <w:color w:val="000000"/>
        </w:rPr>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0</wp:posOffset>
                </wp:positionH>
                <wp:positionV relativeFrom="paragraph">
                  <wp:posOffset>205935</wp:posOffset>
                </wp:positionV>
                <wp:extent cx="6257924" cy="1083185"/>
                <wp:effectExtent l="12700" t="12700" r="12700" b="12700"/>
                <wp:wrapNone/>
                <wp:docPr id="41" name="" hidden="false"/>
                <wp:cNvGraphicFramePr/>
                <a:graphic xmlns:a="http://schemas.openxmlformats.org/drawingml/2006/main">
                  <a:graphicData uri="http://schemas.microsoft.com/office/word/2010/wordprocessingShape">
                    <wps:wsp>
                      <wps:cNvSpPr/>
                      <wps:spPr bwMode="auto">
                        <a:xfrm flipH="0" flipV="0">
                          <a:off x="0" y="0"/>
                          <a:ext cx="6257923" cy="1083184"/>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i w:val="false"/>
                                <w:sz w:val="28"/>
                              </w:rPr>
                            </w:pPr>
                            <w:r>
                              <w:rPr>
                                <w:b/>
                                <w:i w:val="false"/>
                                <w:sz w:val="28"/>
                              </w:rPr>
                              <w:t xml:space="preserve">Статья 284.1. Осуществление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РФ ее деятельности</w:t>
                            </w:r>
                            <w:r>
                              <w:rPr>
                                <w:b/>
                                <w:i w:val="false"/>
                                <w:sz w:val="28"/>
                              </w:rPr>
                            </w:r>
                            <w:r/>
                          </w:p>
                        </w:txbxContent>
                      </wps:txbx>
                      <wps:bodyPr anchor="ctr"/>
                    </wps:wsp>
                  </a:graphicData>
                </a:graphic>
              </wp:anchor>
            </w:drawing>
          </mc:Choice>
          <mc:Fallback>
            <w:pict>
              <v:shape id="shape 137" o:spid="_x0000_s137"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16.2pt;mso-position-vertical:absolute;width:492.7pt;height:85.3pt;v-text-anchor:middle;" coordsize="100000,100000" path="" fillcolor="#4F81BD" strokecolor="#000000" strokeweight="2.00pt">
                <v:path textboxrect="0,0,0,0"/>
                <v:textbox>
                  <w:txbxContent>
                    <w:p>
                      <w:pPr>
                        <w:jc w:val="center"/>
                        <w:rPr>
                          <w:b/>
                          <w:i w:val="false"/>
                          <w:sz w:val="28"/>
                        </w:rPr>
                      </w:pPr>
                      <w:r>
                        <w:rPr>
                          <w:b/>
                          <w:i w:val="false"/>
                          <w:sz w:val="28"/>
                        </w:rPr>
                        <w:t xml:space="preserve">Статья 284.1. Осуществление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РФ ее деятельности</w:t>
                      </w:r>
                      <w:r>
                        <w:rPr>
                          <w:b/>
                          <w:i w:val="false"/>
                          <w:sz w:val="28"/>
                        </w:rPr>
                      </w:r>
                      <w:r/>
                    </w:p>
                  </w:txbxContent>
                </v:textbox>
              </v:shape>
            </w:pict>
          </mc:Fallback>
        </mc:AlternateContent>
      </w:r>
      <w:r/>
    </w:p>
    <w:p>
      <w:r/>
      <w:r/>
    </w:p>
    <w:p>
      <w:r/>
      <w:r/>
    </w:p>
    <w:p>
      <w:r/>
      <w:r/>
    </w:p>
    <w:p>
      <w:r>
        <mc:AlternateContent>
          <mc:Choice Requires="wpg">
            <w:drawing>
              <wp:anchor xmlns:wp="http://schemas.openxmlformats.org/drawingml/2006/wordprocessingDrawing" distT="0" distB="0" distL="115200" distR="115200" simplePos="0" relativeHeight="502864896" behindDoc="0" locked="0" layoutInCell="1" allowOverlap="1">
                <wp:simplePos x="0" y="0"/>
                <wp:positionH relativeFrom="column">
                  <wp:posOffset>1</wp:posOffset>
                </wp:positionH>
                <wp:positionV relativeFrom="paragraph">
                  <wp:posOffset>262995</wp:posOffset>
                </wp:positionV>
                <wp:extent cx="6257923" cy="426589"/>
                <wp:effectExtent l="12700" t="12700" r="12700" b="12700"/>
                <wp:wrapNone/>
                <wp:docPr id="42" name="" hidden="false"/>
                <wp:cNvGraphicFramePr/>
                <a:graphic xmlns:a="http://schemas.openxmlformats.org/drawingml/2006/main">
                  <a:graphicData uri="http://schemas.microsoft.com/office/word/2010/wordprocessingShape">
                    <wps:wsp>
                      <wps:cNvSpPr/>
                      <wps:spPr bwMode="auto">
                        <a:xfrm flipH="0" flipV="0">
                          <a:off x="0" y="0"/>
                          <a:ext cx="6257922" cy="426588"/>
                        </a:xfrm>
                        <a:prstGeom prst="rect">
                          <a:avLst/>
                        </a:prstGeom>
                        <a:ln w="25400" cap="flat" cmpd="sng" algn="ctr">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b/>
                                <w:i w:val="false"/>
                                <w:sz w:val="28"/>
                              </w:rPr>
                              <w:t xml:space="preserve">Статья 359. Наменичество</w:t>
                            </w:r>
                            <w:r/>
                          </w:p>
                        </w:txbxContent>
                      </wps:txbx>
                      <wps:bodyPr anchor="ctr"/>
                    </wps:wsp>
                  </a:graphicData>
                </a:graphic>
              </wp:anchor>
            </w:drawing>
          </mc:Choice>
          <mc:Fallback>
            <w:pict>
              <v:shape id="shape 138" o:spid="_x0000_s138" o:spt="1" style="position:absolute;mso-wrap-distance-left:9.1pt;mso-wrap-distance-top:0.0pt;mso-wrap-distance-right:9.1pt;mso-wrap-distance-bottom:0.0pt;z-index:502864896;o:allowoverlap:true;o:allowincell:true;mso-position-horizontal-relative:text;margin-left:0.0pt;mso-position-horizontal:absolute;mso-position-vertical-relative:text;margin-top:20.7pt;mso-position-vertical:absolute;width:492.7pt;height:33.6pt;v-text-anchor:middle;" coordsize="100000,100000" path="" fillcolor="#4F81BD" strokecolor="#000000" strokeweight="2.00pt">
                <v:path textboxrect="0,0,0,0"/>
                <v:textbox>
                  <w:txbxContent>
                    <w:p>
                      <w:pPr>
                        <w:jc w:val="center"/>
                      </w:pPr>
                      <w:r>
                        <w:rPr>
                          <w:b/>
                          <w:i w:val="false"/>
                          <w:sz w:val="28"/>
                        </w:rPr>
                        <w:t xml:space="preserve">Статья 359. Наменичество</w:t>
                      </w:r>
                      <w:r/>
                    </w:p>
                  </w:txbxContent>
                </v:textbox>
              </v:shape>
            </w:pict>
          </mc:Fallback>
        </mc:AlternateContent>
      </w:r>
      <w:r/>
    </w:p>
    <w:p>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pStyle w:val="575"/>
        <w:ind w:firstLine="0"/>
        <w:jc w:val="left"/>
        <w:spacing w:after="0" w:afterAutospacing="0" w:before="0" w:beforeAutospacing="0"/>
        <w:shd w:val="clear" w:color="auto" w:fill="FFFFFF"/>
        <w:rPr>
          <w:rFonts w:ascii="Cambria" w:hAnsi="Cambria"/>
          <w:b/>
          <w:color w:val="000000"/>
        </w:rPr>
      </w:pPr>
      <w:r>
        <w:rPr>
          <w:rFonts w:ascii="Cambria" w:hAnsi="Cambria"/>
          <w:b/>
          <w:color w:val="000000"/>
        </w:rPr>
      </w:r>
      <w:r>
        <w:rPr>
          <w:rFonts w:ascii="Cambria" w:hAnsi="Cambria"/>
          <w:b/>
          <w:color w:val="000000"/>
        </w:rPr>
      </w:r>
      <w:r/>
    </w:p>
    <w:p>
      <w:pPr>
        <w:rPr>
          <w:rFonts w:ascii="Cambria" w:hAnsi="Cambria" w:cs="Times New Roman" w:eastAsia="Times New Roman"/>
          <w:b/>
          <w:color w:val="000000"/>
          <w:sz w:val="24"/>
          <w:szCs w:val="24"/>
          <w:lang w:eastAsia="ru-RU"/>
        </w:rPr>
      </w:pPr>
      <w:r>
        <w:rPr>
          <w:rFonts w:ascii="Cambria" w:hAnsi="Cambria"/>
          <w:b/>
          <w:color w:val="000000"/>
        </w:rPr>
        <w:br w:type="page"/>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ПЕРЕЧЕНЬ ЗАПРЕЩЕННЫХ НА ТЕРРИТОРИИ </w:t>
      </w:r>
      <w:r/>
    </w:p>
    <w:p>
      <w:pPr>
        <w:pStyle w:val="575"/>
        <w:ind w:firstLine="709"/>
        <w:jc w:val="center"/>
        <w:spacing w:after="0" w:afterAutospacing="0" w:before="0" w:beforeAutospacing="0"/>
        <w:shd w:val="clear" w:color="auto" w:fill="FFFFFF"/>
        <w:rPr>
          <w:rFonts w:ascii="Cambria" w:hAnsi="Cambria"/>
          <w:b/>
          <w:color w:val="000000"/>
        </w:rPr>
      </w:pPr>
      <w:r>
        <w:rPr>
          <w:rFonts w:ascii="Cambria" w:hAnsi="Cambria"/>
          <w:b/>
          <w:color w:val="000000"/>
        </w:rPr>
        <w:t xml:space="preserve">РОССИЙСКОЙ ФЕДЕРАЦИИ ЭКСТРЕМИСТСКИХ ОРГАНИЗАЦИЙ</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bCs/>
        </w:rPr>
        <w:t xml:space="preserve">Пере</w:t>
      </w:r>
      <w:r>
        <w:rPr>
          <w:rFonts w:ascii="Cambria" w:hAnsi="Cambria"/>
          <w:bCs/>
        </w:rPr>
        <w:t xml:space="preserve">чень некоммерческих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114-ФЗ «О противодействии экстремистской деятельности» на период 30 ноября 2023 года.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 </w:t>
      </w:r>
      <w:r>
        <w:rPr>
          <w:rFonts w:ascii="Cambria" w:hAnsi="Cambria" w:cs="Times New Roman" w:eastAsia="Times New Roman"/>
          <w:bCs/>
          <w:sz w:val="24"/>
          <w:szCs w:val="24"/>
          <w:lang w:eastAsia="ru-RU"/>
        </w:rPr>
        <w:t xml:space="preserve">Межрегиональная общественная организация </w:t>
      </w:r>
      <w:r>
        <w:rPr>
          <w:rFonts w:ascii="Cambria" w:hAnsi="Cambria" w:cs="Times New Roman" w:eastAsia="Times New Roman"/>
          <w:b/>
          <w:bCs/>
          <w:sz w:val="24"/>
          <w:szCs w:val="24"/>
          <w:lang w:eastAsia="ru-RU"/>
        </w:rPr>
        <w:t xml:space="preserve">«Национал-большевистская партия»</w:t>
      </w:r>
      <w:r>
        <w:rPr>
          <w:rFonts w:ascii="Cambria" w:hAnsi="Cambria" w:cs="Times New Roman" w:eastAsia="Times New Roman"/>
          <w:sz w:val="24"/>
          <w:szCs w:val="24"/>
          <w:lang w:eastAsia="ru-RU"/>
        </w:rPr>
        <w:t xml:space="preserve">(решение Московского городского суда от 19 апреля 2007 года о запрете деятельности);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 Религиозная группа Краснодарская Православная Славянская община </w:t>
      </w:r>
      <w:r>
        <w:rPr>
          <w:rFonts w:ascii="Cambria" w:hAnsi="Cambria" w:cs="Times New Roman" w:eastAsia="Times New Roman"/>
          <w:b/>
          <w:bCs/>
          <w:sz w:val="24"/>
          <w:szCs w:val="24"/>
          <w:lang w:eastAsia="ru-RU"/>
        </w:rPr>
        <w:t xml:space="preserve">«ВЕК РА»</w:t>
      </w:r>
      <w:r>
        <w:rPr>
          <w:rFonts w:ascii="Cambria" w:hAnsi="Cambria" w:cs="Times New Roman" w:eastAsia="Times New Roman"/>
          <w:sz w:val="24"/>
          <w:szCs w:val="24"/>
          <w:lang w:eastAsia="ru-RU"/>
        </w:rPr>
        <w:t xml:space="preserve"> (Ведической Культуры Российских Ариев) Скифской Веси Рассении (решение Краснодарского краевого суда от 05 октября 2006 года о запрете деятельности);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 </w:t>
      </w:r>
      <w:r>
        <w:rPr>
          <w:rFonts w:ascii="Cambria" w:hAnsi="Cambria" w:cs="Times New Roman" w:eastAsia="Times New Roman"/>
          <w:bCs/>
          <w:sz w:val="24"/>
          <w:szCs w:val="24"/>
          <w:lang w:eastAsia="ru-RU"/>
        </w:rPr>
        <w:t xml:space="preserve">Общественное незарегистрированное объединение группа </w:t>
      </w:r>
      <w:r>
        <w:rPr>
          <w:rFonts w:ascii="Cambria" w:hAnsi="Cambria" w:cs="Times New Roman" w:eastAsia="Times New Roman"/>
          <w:b/>
          <w:bCs/>
          <w:sz w:val="24"/>
          <w:szCs w:val="24"/>
          <w:lang w:eastAsia="ru-RU"/>
        </w:rPr>
        <w:t xml:space="preserve">«Рада земли Кубанской Духовно Родовой Державы Русь»</w:t>
      </w:r>
      <w:r>
        <w:rPr>
          <w:rFonts w:ascii="Cambria" w:hAnsi="Cambria" w:cs="Times New Roman" w:eastAsia="Times New Roman"/>
          <w:sz w:val="24"/>
          <w:szCs w:val="24"/>
          <w:lang w:eastAsia="ru-RU"/>
        </w:rPr>
        <w:t xml:space="preserve"> (решение Первомайского районного суда г. Краснодара от 13 апреля 2006 года о ликвидации);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4. </w:t>
      </w:r>
      <w:r>
        <w:rPr>
          <w:rFonts w:ascii="Cambria" w:hAnsi="Cambria" w:cs="Times New Roman" w:eastAsia="Times New Roman"/>
          <w:bCs/>
          <w:sz w:val="24"/>
          <w:szCs w:val="24"/>
          <w:lang w:eastAsia="ru-RU"/>
        </w:rPr>
        <w:t xml:space="preserve">Местная религиозная организация </w:t>
      </w:r>
      <w:r>
        <w:rPr>
          <w:rFonts w:ascii="Cambria" w:hAnsi="Cambria" w:cs="Times New Roman" w:eastAsia="Times New Roman"/>
          <w:b/>
          <w:bCs/>
          <w:sz w:val="24"/>
          <w:szCs w:val="24"/>
          <w:lang w:eastAsia="ru-RU"/>
        </w:rPr>
        <w:t xml:space="preserve">Асгардская Славянская Община Духовного Управления Асгардской Веси Беловодья Древнерусской Инглиистической церкви Православных Староверов-Инглингов</w:t>
      </w:r>
      <w:r>
        <w:rPr>
          <w:rFonts w:ascii="Cambria" w:hAnsi="Cambria" w:cs="Times New Roman" w:eastAsia="Times New Roman"/>
          <w:sz w:val="24"/>
          <w:szCs w:val="24"/>
          <w:lang w:eastAsia="ru-RU"/>
        </w:rPr>
        <w:t xml:space="preserve"> (решение Омского областного суда от 30 апреля 2004 года о ликвидации);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5. </w:t>
      </w:r>
      <w:r>
        <w:rPr>
          <w:rFonts w:ascii="Cambria" w:hAnsi="Cambria" w:cs="Times New Roman" w:eastAsia="Times New Roman"/>
          <w:bCs/>
          <w:sz w:val="24"/>
          <w:szCs w:val="24"/>
          <w:lang w:eastAsia="ru-RU"/>
        </w:rPr>
        <w:t xml:space="preserve">Местная религиозная организация </w:t>
      </w:r>
      <w:r>
        <w:rPr>
          <w:rFonts w:ascii="Cambria" w:hAnsi="Cambria" w:cs="Times New Roman" w:eastAsia="Times New Roman"/>
          <w:b/>
          <w:bCs/>
          <w:sz w:val="24"/>
          <w:szCs w:val="24"/>
          <w:lang w:eastAsia="ru-RU"/>
        </w:rPr>
        <w:t xml:space="preserve">Славянская Община Капища Веды Перуна Духовного Управления Асгардской Веси Беловодья Древнерусской Инглиистической церкви Православных Староверов-Инглингов</w:t>
      </w:r>
      <w:r>
        <w:rPr>
          <w:rFonts w:ascii="Cambria" w:hAnsi="Cambria" w:cs="Times New Roman" w:eastAsia="Times New Roman"/>
          <w:sz w:val="24"/>
          <w:szCs w:val="24"/>
          <w:lang w:eastAsia="ru-RU"/>
        </w:rPr>
        <w:t xml:space="preserve"> (решение Омского областного суда от 30 апреля 2004 года о ликвидации);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6. </w:t>
      </w:r>
      <w:r>
        <w:rPr>
          <w:rFonts w:ascii="Cambria" w:hAnsi="Cambria" w:cs="Times New Roman" w:eastAsia="Times New Roman"/>
          <w:bCs/>
          <w:sz w:val="24"/>
          <w:szCs w:val="24"/>
          <w:lang w:eastAsia="ru-RU"/>
        </w:rPr>
        <w:t xml:space="preserve">Религиозная организация </w:t>
      </w:r>
      <w:r>
        <w:rPr>
          <w:rFonts w:ascii="Cambria" w:hAnsi="Cambria" w:cs="Times New Roman" w:eastAsia="Times New Roman"/>
          <w:b/>
          <w:bCs/>
          <w:sz w:val="24"/>
          <w:szCs w:val="24"/>
          <w:lang w:eastAsia="ru-RU"/>
        </w:rPr>
        <w:t xml:space="preserve">Мужская Духовная Семинария Духовное Учреждение профессионального религиозного образования Древнерусской Инглиистической Церкви Православных Староверов-Инглингов</w:t>
      </w:r>
      <w:r>
        <w:rPr>
          <w:rFonts w:ascii="Cambria" w:hAnsi="Cambria" w:cs="Times New Roman" w:eastAsia="Times New Roman"/>
          <w:sz w:val="24"/>
          <w:szCs w:val="24"/>
          <w:lang w:eastAsia="ru-RU"/>
        </w:rPr>
        <w:t xml:space="preserve"> (решение Омского областного суда от 30 апреля 2004 года о ликвидации);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7. </w:t>
      </w:r>
      <w:r>
        <w:rPr>
          <w:rFonts w:ascii="Cambria" w:hAnsi="Cambria" w:cs="Times New Roman" w:eastAsia="Times New Roman"/>
          <w:bCs/>
          <w:sz w:val="24"/>
          <w:szCs w:val="24"/>
          <w:lang w:eastAsia="ru-RU"/>
        </w:rPr>
        <w:t xml:space="preserve">Международное религиозное объединение </w:t>
      </w:r>
      <w:r>
        <w:rPr>
          <w:rFonts w:ascii="Cambria" w:hAnsi="Cambria" w:cs="Times New Roman" w:eastAsia="Times New Roman"/>
          <w:b/>
          <w:bCs/>
          <w:sz w:val="24"/>
          <w:szCs w:val="24"/>
          <w:lang w:eastAsia="ru-RU"/>
        </w:rPr>
        <w:t xml:space="preserve">«Нурджулар</w:t>
      </w:r>
      <w:r>
        <w:rPr>
          <w:rFonts w:ascii="Cambria" w:hAnsi="Cambria" w:cs="Times New Roman" w:eastAsia="Times New Roman"/>
          <w:bCs/>
          <w:sz w:val="24"/>
          <w:szCs w:val="24"/>
          <w:lang w:eastAsia="ru-RU"/>
        </w:rPr>
        <w:t xml:space="preserve">»</w:t>
      </w:r>
      <w:r>
        <w:rPr>
          <w:rFonts w:ascii="Cambria" w:hAnsi="Cambria" w:cs="Times New Roman" w:eastAsia="Times New Roman"/>
          <w:sz w:val="24"/>
          <w:szCs w:val="24"/>
          <w:lang w:eastAsia="ru-RU"/>
        </w:rPr>
        <w:t xml:space="preserve"> (решение Верховного Суда Российской Федерации от 10 апреля 2008 года о запрете деятельности);</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8. </w:t>
      </w:r>
      <w:r>
        <w:rPr>
          <w:rFonts w:ascii="Cambria" w:hAnsi="Cambria" w:cs="Times New Roman" w:eastAsia="Times New Roman"/>
          <w:bCs/>
          <w:sz w:val="24"/>
          <w:szCs w:val="24"/>
          <w:lang w:eastAsia="ru-RU"/>
        </w:rPr>
        <w:t xml:space="preserve">Общественное объединение Ахтубинское народное движение </w:t>
      </w:r>
      <w:r>
        <w:rPr>
          <w:rFonts w:ascii="Cambria" w:hAnsi="Cambria" w:cs="Times New Roman" w:eastAsia="Times New Roman"/>
          <w:b/>
          <w:bCs/>
          <w:sz w:val="24"/>
          <w:szCs w:val="24"/>
          <w:lang w:eastAsia="ru-RU"/>
        </w:rPr>
        <w:t xml:space="preserve">«К Богодержавию»</w:t>
      </w:r>
      <w:r>
        <w:rPr>
          <w:rFonts w:ascii="Cambria" w:hAnsi="Cambria" w:cs="Times New Roman" w:eastAsia="Times New Roman"/>
          <w:sz w:val="24"/>
          <w:szCs w:val="24"/>
          <w:lang w:eastAsia="ru-RU"/>
        </w:rPr>
        <w:t xml:space="preserve"> (решение Ахтубинского городского суда Астраханской области от 17 июля 2008 года и определение Судебной коллегии по гражданским делам Астраханского областного суда от 17 сентября 2008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9. </w:t>
      </w:r>
      <w:r>
        <w:rPr>
          <w:rFonts w:ascii="Cambria" w:hAnsi="Cambria" w:cs="Times New Roman" w:eastAsia="Times New Roman"/>
          <w:bCs/>
          <w:sz w:val="24"/>
          <w:szCs w:val="24"/>
          <w:lang w:eastAsia="ru-RU"/>
        </w:rPr>
        <w:t xml:space="preserve">Международное религиозное объединение </w:t>
      </w:r>
      <w:r>
        <w:rPr>
          <w:rFonts w:ascii="Cambria" w:hAnsi="Cambria" w:cs="Times New Roman" w:eastAsia="Times New Roman"/>
          <w:b/>
          <w:bCs/>
          <w:sz w:val="24"/>
          <w:szCs w:val="24"/>
          <w:lang w:eastAsia="ru-RU"/>
        </w:rPr>
        <w:t xml:space="preserve">«ТаблигиДжамаат»</w:t>
      </w:r>
      <w:r>
        <w:rPr>
          <w:rFonts w:ascii="Cambria" w:hAnsi="Cambria" w:cs="Times New Roman" w:eastAsia="Times New Roman"/>
          <w:sz w:val="24"/>
          <w:szCs w:val="24"/>
          <w:lang w:eastAsia="ru-RU"/>
        </w:rPr>
        <w:t xml:space="preserve"> (решение Верховного Суда Российской Федерации от 07 мая 2009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10. </w:t>
      </w:r>
      <w:r>
        <w:rPr>
          <w:rFonts w:ascii="Cambria" w:hAnsi="Cambria" w:cs="Times New Roman" w:eastAsia="Times New Roman"/>
          <w:bCs/>
          <w:sz w:val="24"/>
          <w:szCs w:val="24"/>
          <w:lang w:eastAsia="ru-RU"/>
        </w:rPr>
        <w:t xml:space="preserve">Местная религиозная организация Свидетели Иеговы </w:t>
      </w:r>
      <w:r>
        <w:rPr>
          <w:rFonts w:ascii="Cambria" w:hAnsi="Cambria" w:cs="Times New Roman" w:eastAsia="Times New Roman"/>
          <w:b/>
          <w:bCs/>
          <w:sz w:val="24"/>
          <w:szCs w:val="24"/>
          <w:lang w:eastAsia="ru-RU"/>
        </w:rPr>
        <w:t xml:space="preserve">«Таганрог»</w:t>
      </w:r>
      <w:r>
        <w:rPr>
          <w:rFonts w:ascii="Cambria" w:hAnsi="Cambria" w:cs="Times New Roman" w:eastAsia="Times New Roman"/>
          <w:sz w:val="24"/>
          <w:szCs w:val="24"/>
          <w:lang w:eastAsia="ru-RU"/>
        </w:rPr>
        <w:t xml:space="preserve"> (решение Ростовского областного суда от 11 сентября 2009 года и определение Судебной коллегии по гражданским делам Верховного Суда Российской Федерации от 08 декабря 2009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11. </w:t>
      </w:r>
      <w:r>
        <w:rPr>
          <w:rFonts w:ascii="Cambria" w:hAnsi="Cambria" w:cs="Times New Roman" w:eastAsia="Times New Roman"/>
          <w:bCs/>
          <w:sz w:val="24"/>
          <w:szCs w:val="24"/>
          <w:lang w:eastAsia="ru-RU"/>
        </w:rPr>
        <w:t xml:space="preserve">Рязанская городская общественная патриотическая организация </w:t>
      </w:r>
      <w:r>
        <w:rPr>
          <w:rFonts w:ascii="Cambria" w:hAnsi="Cambria" w:cs="Times New Roman" w:eastAsia="Times New Roman"/>
          <w:b/>
          <w:bCs/>
          <w:sz w:val="24"/>
          <w:szCs w:val="24"/>
          <w:lang w:eastAsia="ru-RU"/>
        </w:rPr>
        <w:t xml:space="preserve">«Русское национальное единство»</w:t>
      </w:r>
      <w:r>
        <w:rPr>
          <w:rFonts w:ascii="Cambria" w:hAnsi="Cambria" w:cs="Times New Roman" w:eastAsia="Times New Roman"/>
          <w:sz w:val="24"/>
          <w:szCs w:val="24"/>
          <w:lang w:eastAsia="ru-RU"/>
        </w:rPr>
        <w:t xml:space="preserve">(заочное решение Железнодорожного районного суда г. Рязани от 12 февраля 2008 года и определение Железнодорожного районного суда г. Рязани от 24 декабря 2009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12. </w:t>
      </w:r>
      <w:r>
        <w:rPr>
          <w:rFonts w:ascii="Cambria" w:hAnsi="Cambria" w:cs="Times New Roman" w:eastAsia="Times New Roman"/>
          <w:bCs/>
          <w:sz w:val="24"/>
          <w:szCs w:val="24"/>
          <w:lang w:eastAsia="ru-RU"/>
        </w:rPr>
        <w:t xml:space="preserve">Международное общественное объединение </w:t>
      </w:r>
      <w:r>
        <w:rPr>
          <w:rFonts w:ascii="Cambria" w:hAnsi="Cambria" w:cs="Times New Roman" w:eastAsia="Times New Roman"/>
          <w:b/>
          <w:bCs/>
          <w:sz w:val="24"/>
          <w:szCs w:val="24"/>
          <w:lang w:eastAsia="ru-RU"/>
        </w:rPr>
        <w:t xml:space="preserve">«Национал-социалистическое общество»</w:t>
      </w:r>
      <w:r>
        <w:rPr>
          <w:rFonts w:ascii="Cambria" w:hAnsi="Cambria" w:cs="Times New Roman" w:eastAsia="Times New Roman"/>
          <w:bCs/>
          <w:sz w:val="24"/>
          <w:szCs w:val="24"/>
          <w:lang w:eastAsia="ru-RU"/>
        </w:rPr>
        <w:t xml:space="preserve"> («НСО», «НС»)</w:t>
      </w:r>
      <w:r>
        <w:rPr>
          <w:rFonts w:ascii="Cambria" w:hAnsi="Cambria" w:cs="Times New Roman" w:eastAsia="Times New Roman"/>
          <w:sz w:val="24"/>
          <w:szCs w:val="24"/>
          <w:lang w:eastAsia="ru-RU"/>
        </w:rPr>
        <w:t xml:space="preserve"> (решение Верховного Суда Российской Федерации от 01 февраля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13. </w:t>
      </w:r>
      <w:r>
        <w:rPr>
          <w:rFonts w:ascii="Cambria" w:hAnsi="Cambria" w:cs="Times New Roman" w:eastAsia="Times New Roman"/>
          <w:bCs/>
          <w:sz w:val="24"/>
          <w:szCs w:val="24"/>
          <w:lang w:eastAsia="ru-RU"/>
        </w:rPr>
        <w:t xml:space="preserve">Группа </w:t>
      </w:r>
      <w:r>
        <w:rPr>
          <w:rFonts w:ascii="Cambria" w:hAnsi="Cambria" w:cs="Times New Roman" w:eastAsia="Times New Roman"/>
          <w:b/>
          <w:bCs/>
          <w:sz w:val="24"/>
          <w:szCs w:val="24"/>
          <w:lang w:eastAsia="ru-RU"/>
        </w:rPr>
        <w:t xml:space="preserve">«Джамаат мувахидов»</w:t>
      </w:r>
      <w:r>
        <w:rPr>
          <w:rFonts w:ascii="Cambria" w:hAnsi="Cambria" w:cs="Times New Roman" w:eastAsia="Times New Roman"/>
          <w:sz w:val="24"/>
          <w:szCs w:val="24"/>
          <w:lang w:eastAsia="ru-RU"/>
        </w:rPr>
        <w:t xml:space="preserve"> (решение Ленинского районного суда г. Астрахани от 19 октября 2007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14. </w:t>
      </w:r>
      <w:r>
        <w:rPr>
          <w:rFonts w:ascii="Cambria" w:hAnsi="Cambria" w:cs="Times New Roman" w:eastAsia="Times New Roman"/>
          <w:b/>
          <w:bCs/>
          <w:sz w:val="24"/>
          <w:szCs w:val="24"/>
          <w:lang w:eastAsia="ru-RU"/>
        </w:rPr>
        <w:t xml:space="preserve">«Объединенный Вилайат Кабарды, Балкарии и Карачая»</w:t>
      </w:r>
      <w:r>
        <w:rPr>
          <w:rFonts w:ascii="Cambria" w:hAnsi="Cambria" w:cs="Times New Roman" w:eastAsia="Times New Roman"/>
          <w:sz w:val="24"/>
          <w:szCs w:val="24"/>
          <w:lang w:eastAsia="ru-RU"/>
        </w:rPr>
        <w:t xml:space="preserve"> (решение Верховного Суда Кабардино-Балкарской Республики от 09 июля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15. </w:t>
      </w:r>
      <w:r>
        <w:rPr>
          <w:rFonts w:ascii="Cambria" w:hAnsi="Cambria" w:cs="Times New Roman" w:eastAsia="Times New Roman"/>
          <w:bCs/>
          <w:sz w:val="24"/>
          <w:szCs w:val="24"/>
          <w:lang w:eastAsia="ru-RU"/>
        </w:rPr>
        <w:t xml:space="preserve">Приморская региональная правозащитная общественная организация </w:t>
      </w:r>
      <w:r>
        <w:rPr>
          <w:rFonts w:ascii="Cambria" w:hAnsi="Cambria" w:cs="Times New Roman" w:eastAsia="Times New Roman"/>
          <w:b/>
          <w:bCs/>
          <w:sz w:val="24"/>
          <w:szCs w:val="24"/>
          <w:lang w:eastAsia="ru-RU"/>
        </w:rPr>
        <w:t xml:space="preserve">«Союз славян»</w:t>
      </w:r>
      <w:r>
        <w:rPr>
          <w:rFonts w:ascii="Cambria" w:hAnsi="Cambria" w:cs="Times New Roman" w:eastAsia="Times New Roman"/>
          <w:sz w:val="24"/>
          <w:szCs w:val="24"/>
          <w:lang w:eastAsia="ru-RU"/>
        </w:rPr>
        <w:t xml:space="preserve"> (решение Приморского краевого суда от 28 июля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16. </w:t>
      </w:r>
      <w:r>
        <w:rPr>
          <w:rFonts w:ascii="Cambria" w:hAnsi="Cambria" w:cs="Times New Roman" w:eastAsia="Times New Roman"/>
          <w:bCs/>
          <w:sz w:val="24"/>
          <w:szCs w:val="24"/>
          <w:lang w:eastAsia="ru-RU"/>
        </w:rPr>
        <w:t xml:space="preserve">Международное религиозное объединение </w:t>
      </w:r>
      <w:r>
        <w:rPr>
          <w:rFonts w:ascii="Cambria" w:hAnsi="Cambria" w:cs="Times New Roman" w:eastAsia="Times New Roman"/>
          <w:b/>
          <w:bCs/>
          <w:sz w:val="24"/>
          <w:szCs w:val="24"/>
          <w:lang w:eastAsia="ru-RU"/>
        </w:rPr>
        <w:t xml:space="preserve">«Ат-Такфир Валь-Хиджра»</w:t>
      </w:r>
      <w:r>
        <w:rPr>
          <w:rFonts w:ascii="Cambria" w:hAnsi="Cambria" w:cs="Times New Roman" w:eastAsia="Times New Roman"/>
          <w:sz w:val="24"/>
          <w:szCs w:val="24"/>
          <w:lang w:eastAsia="ru-RU"/>
        </w:rPr>
        <w:t xml:space="preserve">(решение Верховного Суда Российской Федерации от 15 сентября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17. Местная организация города Краснодара – </w:t>
      </w:r>
      <w:r>
        <w:rPr>
          <w:rFonts w:ascii="Cambria" w:hAnsi="Cambria" w:cs="Times New Roman" w:eastAsia="Times New Roman"/>
          <w:b/>
          <w:bCs/>
          <w:sz w:val="24"/>
          <w:szCs w:val="24"/>
          <w:lang w:eastAsia="ru-RU"/>
        </w:rPr>
        <w:t xml:space="preserve">«Пит Буль»</w:t>
      </w:r>
      <w:r>
        <w:rPr>
          <w:rFonts w:ascii="Cambria" w:hAnsi="Cambria" w:cs="Times New Roman" w:eastAsia="Times New Roman"/>
          <w:bCs/>
          <w:sz w:val="24"/>
          <w:szCs w:val="24"/>
          <w:lang w:eastAsia="ru-RU"/>
        </w:rPr>
        <w:t xml:space="preserve"> («Pit Bull»)</w:t>
      </w:r>
      <w:r>
        <w:rPr>
          <w:rFonts w:ascii="Cambria" w:hAnsi="Cambria" w:cs="Times New Roman" w:eastAsia="Times New Roman"/>
          <w:sz w:val="24"/>
          <w:szCs w:val="24"/>
          <w:lang w:eastAsia="ru-RU"/>
        </w:rPr>
        <w:t xml:space="preserve"> (решение </w:t>
      </w:r>
      <w:r>
        <w:rPr>
          <w:rFonts w:ascii="Cambria" w:hAnsi="Cambria" w:cs="Times New Roman" w:eastAsia="Times New Roman"/>
          <w:sz w:val="24"/>
          <w:szCs w:val="24"/>
          <w:lang w:eastAsia="ru-RU"/>
        </w:rPr>
        <w:br/>
        <w:t xml:space="preserve">Октябрьского районного суда г. Краснодара от 24 августа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18. Региональное общественное объединение </w:t>
      </w:r>
      <w:r>
        <w:rPr>
          <w:rFonts w:ascii="Cambria" w:hAnsi="Cambria" w:cs="Times New Roman" w:eastAsia="Times New Roman"/>
          <w:b/>
          <w:bCs/>
          <w:sz w:val="24"/>
          <w:szCs w:val="24"/>
          <w:lang w:eastAsia="ru-RU"/>
        </w:rPr>
        <w:t xml:space="preserve">«Национал-социалистическая рабочая партия России»</w:t>
      </w:r>
      <w:r>
        <w:rPr>
          <w:rFonts w:ascii="Cambria" w:hAnsi="Cambria" w:cs="Times New Roman" w:eastAsia="Times New Roman"/>
          <w:bCs/>
          <w:sz w:val="24"/>
          <w:szCs w:val="24"/>
          <w:lang w:eastAsia="ru-RU"/>
        </w:rPr>
        <w:t xml:space="preserve"> («НСРПР»)</w:t>
      </w:r>
      <w:r>
        <w:rPr>
          <w:rFonts w:ascii="Cambria" w:hAnsi="Cambria" w:cs="Times New Roman" w:eastAsia="Times New Roman"/>
          <w:sz w:val="24"/>
          <w:szCs w:val="24"/>
          <w:lang w:eastAsia="ru-RU"/>
        </w:rPr>
        <w:t xml:space="preserve"> (решение Судебной коллегии по гражданским делам Нижегородского областного суда от 22 сентября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19. </w:t>
      </w:r>
      <w:r>
        <w:rPr>
          <w:rFonts w:ascii="Cambria" w:hAnsi="Cambria" w:cs="Times New Roman" w:eastAsia="Times New Roman"/>
          <w:bCs/>
          <w:sz w:val="24"/>
          <w:szCs w:val="24"/>
          <w:lang w:eastAsia="ru-RU"/>
        </w:rPr>
        <w:t xml:space="preserve">Межрегиональное общественное движение </w:t>
      </w:r>
      <w:r>
        <w:rPr>
          <w:rFonts w:ascii="Cambria" w:hAnsi="Cambria" w:cs="Times New Roman" w:eastAsia="Times New Roman"/>
          <w:b/>
          <w:bCs/>
          <w:sz w:val="24"/>
          <w:szCs w:val="24"/>
          <w:lang w:eastAsia="ru-RU"/>
        </w:rPr>
        <w:t xml:space="preserve">«Славянский союз»</w:t>
      </w:r>
      <w:r>
        <w:rPr>
          <w:rFonts w:ascii="Cambria" w:hAnsi="Cambria" w:cs="Times New Roman" w:eastAsia="Times New Roman"/>
          <w:sz w:val="24"/>
          <w:szCs w:val="24"/>
          <w:lang w:eastAsia="ru-RU"/>
        </w:rPr>
        <w:t xml:space="preserve"> (решение Московского городского суда от 27 апреля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20. Межрегиональное общественное объединение </w:t>
      </w:r>
      <w:r>
        <w:rPr>
          <w:rFonts w:ascii="Cambria" w:hAnsi="Cambria" w:cs="Times New Roman" w:eastAsia="Times New Roman"/>
          <w:b/>
          <w:bCs/>
          <w:sz w:val="24"/>
          <w:szCs w:val="24"/>
          <w:lang w:eastAsia="ru-RU"/>
        </w:rPr>
        <w:t xml:space="preserve">«Формат-18»</w:t>
      </w:r>
      <w:r>
        <w:rPr>
          <w:rFonts w:ascii="Cambria" w:hAnsi="Cambria" w:cs="Times New Roman" w:eastAsia="Times New Roman"/>
          <w:sz w:val="24"/>
          <w:szCs w:val="24"/>
          <w:lang w:eastAsia="ru-RU"/>
        </w:rPr>
        <w:t xml:space="preserve"> (решение Московского городского суда от 20 декабря 2010 года);</w:t>
      </w:r>
      <w:r/>
    </w:p>
    <w:p>
      <w:pPr>
        <w:pStyle w:val="575"/>
        <w:ind w:firstLine="709"/>
        <w:jc w:val="both"/>
        <w:spacing w:after="0" w:afterAutospacing="0" w:before="0" w:beforeAutospacing="0"/>
        <w:shd w:val="clear" w:color="auto" w:fill="FFFFFF"/>
        <w:rPr>
          <w:rFonts w:ascii="Cambria" w:hAnsi="Cambria"/>
        </w:rPr>
      </w:pPr>
      <w:r>
        <w:rPr>
          <w:rFonts w:ascii="Cambria" w:hAnsi="Cambria"/>
          <w:bCs/>
        </w:rPr>
        <w:t xml:space="preserve">21. Религиозная группа </w:t>
      </w:r>
      <w:r>
        <w:rPr>
          <w:rFonts w:ascii="Cambria" w:hAnsi="Cambria"/>
          <w:b/>
          <w:bCs/>
        </w:rPr>
        <w:t xml:space="preserve">«Благородный Орден Дьявола»</w:t>
      </w:r>
      <w:r>
        <w:rPr>
          <w:rFonts w:ascii="Cambria" w:hAnsi="Cambria"/>
        </w:rPr>
        <w:t xml:space="preserve"> (решение Верховного Суда Республики Мордовия от 27 декабря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22. Межрегиональное общественное движение </w:t>
      </w:r>
      <w:r>
        <w:rPr>
          <w:rFonts w:ascii="Cambria" w:hAnsi="Cambria" w:cs="Times New Roman" w:eastAsia="Times New Roman"/>
          <w:b/>
          <w:bCs/>
          <w:sz w:val="24"/>
          <w:szCs w:val="24"/>
          <w:lang w:eastAsia="ru-RU"/>
        </w:rPr>
        <w:t xml:space="preserve">«Армия воли народа»</w:t>
      </w:r>
      <w:r>
        <w:rPr>
          <w:rFonts w:ascii="Cambria" w:hAnsi="Cambria" w:cs="Times New Roman" w:eastAsia="Times New Roman"/>
          <w:sz w:val="24"/>
          <w:szCs w:val="24"/>
          <w:lang w:eastAsia="ru-RU"/>
        </w:rPr>
        <w:t xml:space="preserve"> (решение Московского городского суда от 19 октября 2010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23. </w:t>
      </w:r>
      <w:r>
        <w:rPr>
          <w:rFonts w:ascii="Cambria" w:hAnsi="Cambria" w:cs="Times New Roman" w:eastAsia="Times New Roman"/>
          <w:bCs/>
          <w:sz w:val="24"/>
          <w:szCs w:val="24"/>
          <w:lang w:eastAsia="ru-RU"/>
        </w:rPr>
        <w:t xml:space="preserve">Местная общественная организация </w:t>
      </w:r>
      <w:r>
        <w:rPr>
          <w:rFonts w:ascii="Cambria" w:hAnsi="Cambria" w:cs="Times New Roman" w:eastAsia="Times New Roman"/>
          <w:b/>
          <w:bCs/>
          <w:sz w:val="24"/>
          <w:szCs w:val="24"/>
          <w:lang w:eastAsia="ru-RU"/>
        </w:rPr>
        <w:t xml:space="preserve">«Национальная Социалистическая Инициатива города Череповца»</w:t>
      </w:r>
      <w:r>
        <w:rPr>
          <w:rFonts w:ascii="Cambria" w:hAnsi="Cambria" w:cs="Times New Roman" w:eastAsia="Times New Roman"/>
          <w:sz w:val="24"/>
          <w:szCs w:val="24"/>
          <w:lang w:eastAsia="ru-RU"/>
        </w:rPr>
        <w:t xml:space="preserve"> (решение Череповецкого городского суда Вологодской области от 16 мая 2011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24. </w:t>
      </w:r>
      <w:r>
        <w:rPr>
          <w:rFonts w:ascii="Cambria" w:hAnsi="Cambria" w:cs="Times New Roman" w:eastAsia="Times New Roman"/>
          <w:bCs/>
          <w:sz w:val="24"/>
          <w:szCs w:val="24"/>
          <w:lang w:eastAsia="ru-RU"/>
        </w:rPr>
        <w:t xml:space="preserve">Межрегиональное общественное объединение </w:t>
      </w:r>
      <w:r>
        <w:rPr>
          <w:rFonts w:ascii="Cambria" w:hAnsi="Cambria" w:cs="Times New Roman" w:eastAsia="Times New Roman"/>
          <w:b/>
          <w:bCs/>
          <w:sz w:val="24"/>
          <w:szCs w:val="24"/>
          <w:lang w:eastAsia="ru-RU"/>
        </w:rPr>
        <w:t xml:space="preserve">«Духовно-Родовая Держава Русь»</w:t>
      </w:r>
      <w:r>
        <w:rPr>
          <w:rFonts w:ascii="Cambria" w:hAnsi="Cambria" w:cs="Times New Roman" w:eastAsia="Times New Roman"/>
          <w:sz w:val="24"/>
          <w:szCs w:val="24"/>
          <w:lang w:eastAsia="ru-RU"/>
        </w:rPr>
        <w:t xml:space="preserve"> (решение Московского областного суда от 05 апреля 2011 года и определение Верховного Суда Российской Федерации от 12 июля 2011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25. </w:t>
      </w:r>
      <w:r>
        <w:rPr>
          <w:rFonts w:ascii="Cambria" w:hAnsi="Cambria" w:cs="Times New Roman" w:eastAsia="Times New Roman"/>
          <w:bCs/>
          <w:sz w:val="24"/>
          <w:szCs w:val="24"/>
          <w:lang w:eastAsia="ru-RU"/>
        </w:rPr>
        <w:t xml:space="preserve">Татарстанское региональное отделение общероссийского патриотического движения </w:t>
      </w:r>
      <w:r>
        <w:rPr>
          <w:rFonts w:ascii="Cambria" w:hAnsi="Cambria" w:cs="Times New Roman" w:eastAsia="Times New Roman"/>
          <w:b/>
          <w:bCs/>
          <w:sz w:val="24"/>
          <w:szCs w:val="24"/>
          <w:lang w:eastAsia="ru-RU"/>
        </w:rPr>
        <w:t xml:space="preserve">«Русское национальное единство»</w:t>
      </w:r>
      <w:r>
        <w:rPr>
          <w:rFonts w:ascii="Cambria" w:hAnsi="Cambria" w:cs="Times New Roman" w:eastAsia="Times New Roman"/>
          <w:sz w:val="24"/>
          <w:szCs w:val="24"/>
          <w:lang w:eastAsia="ru-RU"/>
        </w:rPr>
        <w:t xml:space="preserve"> (решение Верховного суда Республики Татарстан от 21 мая 2003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26. Религиозная группа Соколова О.В., Русских В.В. и Петина А.Г., исповедующая, культивирующая и распространяющая идеи доктрины </w:t>
      </w:r>
      <w:r>
        <w:rPr>
          <w:rFonts w:ascii="Cambria" w:hAnsi="Cambria" w:cs="Times New Roman" w:eastAsia="Times New Roman"/>
          <w:b/>
          <w:bCs/>
          <w:sz w:val="24"/>
          <w:szCs w:val="24"/>
          <w:lang w:eastAsia="ru-RU"/>
        </w:rPr>
        <w:t xml:space="preserve">«Древнерусской Инглистической церкви Православных Староверов-Инглингов»</w:t>
      </w:r>
      <w:r>
        <w:rPr>
          <w:rFonts w:ascii="Cambria" w:hAnsi="Cambria" w:cs="Times New Roman" w:eastAsia="Times New Roman"/>
          <w:sz w:val="24"/>
          <w:szCs w:val="24"/>
          <w:lang w:eastAsia="ru-RU"/>
        </w:rPr>
        <w:t xml:space="preserve"> (решение Майкопского районного суда Республики Адыгея от 12 декабря 2008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27. Межрегиональное объединение </w:t>
      </w:r>
      <w:r>
        <w:rPr>
          <w:rFonts w:ascii="Cambria" w:hAnsi="Cambria" w:cs="Times New Roman" w:eastAsia="Times New Roman"/>
          <w:b/>
          <w:bCs/>
          <w:sz w:val="24"/>
          <w:szCs w:val="24"/>
          <w:lang w:eastAsia="ru-RU"/>
        </w:rPr>
        <w:t xml:space="preserve">«Русский общенациональный союз»</w:t>
      </w:r>
      <w:r>
        <w:rPr>
          <w:rFonts w:ascii="Cambria" w:hAnsi="Cambria" w:cs="Times New Roman" w:eastAsia="Times New Roman"/>
          <w:sz w:val="24"/>
          <w:szCs w:val="24"/>
          <w:lang w:eastAsia="ru-RU"/>
        </w:rPr>
        <w:t xml:space="preserve"> (решение Владимирского областного суда от 30 мая 2011 года и определение судебной коллегии по гражданским делам Верховного Суда Российской Федерации от 06 сентября 2011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28. Межрегиональная общественная организация </w:t>
      </w:r>
      <w:r>
        <w:rPr>
          <w:rFonts w:ascii="Cambria" w:hAnsi="Cambria" w:cs="Times New Roman" w:eastAsia="Times New Roman"/>
          <w:b/>
          <w:bCs/>
          <w:sz w:val="24"/>
          <w:szCs w:val="24"/>
          <w:lang w:eastAsia="ru-RU"/>
        </w:rPr>
        <w:t xml:space="preserve">«Движение против нелегальной иммиграции»</w:t>
      </w:r>
      <w:r>
        <w:rPr>
          <w:rFonts w:ascii="Cambria" w:hAnsi="Cambria" w:cs="Times New Roman" w:eastAsia="Times New Roman"/>
          <w:bCs/>
          <w:sz w:val="24"/>
          <w:szCs w:val="24"/>
          <w:lang w:eastAsia="ru-RU"/>
        </w:rPr>
        <w:t xml:space="preserve">ДПНИ</w:t>
      </w:r>
      <w:r>
        <w:rPr>
          <w:rFonts w:ascii="Cambria" w:hAnsi="Cambria" w:cs="Times New Roman" w:eastAsia="Times New Roman"/>
          <w:sz w:val="24"/>
          <w:szCs w:val="24"/>
          <w:lang w:eastAsia="ru-RU"/>
        </w:rPr>
        <w:t xml:space="preserve"> (решение Московского городского суда от 18 апреля 2011 года и определение Верховного Суда Российской Федерации от 09 августа 2011 года);</w:t>
      </w:r>
      <w:r/>
    </w:p>
    <w:p>
      <w:pPr>
        <w:pStyle w:val="575"/>
        <w:ind w:firstLine="709"/>
        <w:jc w:val="both"/>
        <w:spacing w:after="0" w:afterAutospacing="0" w:before="0" w:beforeAutospacing="0"/>
        <w:shd w:val="clear" w:color="auto" w:fill="FFFFFF"/>
        <w:rPr>
          <w:rFonts w:ascii="Cambria" w:hAnsi="Cambria"/>
        </w:rPr>
      </w:pPr>
      <w:r>
        <w:rPr>
          <w:rFonts w:ascii="Cambria" w:hAnsi="Cambria"/>
          <w:bCs/>
        </w:rPr>
        <w:t xml:space="preserve">29. Международное объединение </w:t>
      </w:r>
      <w:r>
        <w:rPr>
          <w:rFonts w:ascii="Cambria" w:hAnsi="Cambria"/>
          <w:b/>
          <w:bCs/>
        </w:rPr>
        <w:t xml:space="preserve">«Кровь и Честь»</w:t>
      </w:r>
      <w:r>
        <w:rPr>
          <w:rFonts w:ascii="Cambria" w:hAnsi="Cambria"/>
        </w:rPr>
        <w:t xml:space="preserve"> («Bloodandonour/Combat18», «B&amp;H», «BandH») (решение Верховного Суда Российской Федерации от 29 мая 2012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30. </w:t>
      </w:r>
      <w:r>
        <w:rPr>
          <w:rFonts w:ascii="Cambria" w:hAnsi="Cambria" w:cs="Times New Roman" w:eastAsia="Times New Roman"/>
          <w:bCs/>
          <w:sz w:val="24"/>
          <w:szCs w:val="24"/>
          <w:lang w:eastAsia="ru-RU"/>
        </w:rPr>
        <w:t xml:space="preserve">Религиозное объединение </w:t>
      </w:r>
      <w:r>
        <w:rPr>
          <w:rFonts w:ascii="Cambria" w:hAnsi="Cambria" w:cs="Times New Roman" w:eastAsia="Times New Roman"/>
          <w:b/>
          <w:bCs/>
          <w:sz w:val="24"/>
          <w:szCs w:val="24"/>
          <w:lang w:eastAsia="ru-RU"/>
        </w:rPr>
        <w:t xml:space="preserve">«Орда»</w:t>
      </w:r>
      <w:r>
        <w:rPr>
          <w:rFonts w:ascii="Cambria" w:hAnsi="Cambria" w:cs="Times New Roman" w:eastAsia="Times New Roman"/>
          <w:sz w:val="24"/>
          <w:szCs w:val="24"/>
          <w:lang w:eastAsia="ru-RU"/>
        </w:rPr>
        <w:t xml:space="preserve">(решение Кизильского районного суда Челябинской области от 21 декабря 2012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31. </w:t>
      </w:r>
      <w:r>
        <w:rPr>
          <w:rFonts w:ascii="Cambria" w:hAnsi="Cambria" w:cs="Times New Roman" w:eastAsia="Times New Roman"/>
          <w:bCs/>
          <w:sz w:val="24"/>
          <w:szCs w:val="24"/>
          <w:lang w:eastAsia="ru-RU"/>
        </w:rPr>
        <w:t xml:space="preserve">Общественное объединение (движение) </w:t>
      </w:r>
      <w:r>
        <w:rPr>
          <w:rFonts w:ascii="Cambria" w:hAnsi="Cambria" w:cs="Times New Roman" w:eastAsia="Times New Roman"/>
          <w:b/>
          <w:bCs/>
          <w:sz w:val="24"/>
          <w:szCs w:val="24"/>
          <w:lang w:eastAsia="ru-RU"/>
        </w:rPr>
        <w:t xml:space="preserve">«Омская организация общественного политического движения «Русское национальное единство»</w:t>
      </w:r>
      <w:r>
        <w:rPr>
          <w:rFonts w:ascii="Cambria" w:hAnsi="Cambria" w:cs="Times New Roman" w:eastAsia="Times New Roman"/>
          <w:sz w:val="24"/>
          <w:szCs w:val="24"/>
          <w:lang w:eastAsia="ru-RU"/>
        </w:rPr>
        <w:t xml:space="preserve"> (решение Омского областного суда от 10 октября 2002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32. </w:t>
      </w:r>
      <w:r>
        <w:rPr>
          <w:rFonts w:ascii="Cambria" w:hAnsi="Cambria" w:cs="Times New Roman" w:eastAsia="Times New Roman"/>
          <w:bCs/>
          <w:sz w:val="24"/>
          <w:szCs w:val="24"/>
          <w:lang w:eastAsia="ru-RU"/>
        </w:rPr>
        <w:t xml:space="preserve">Межрегиональное общественное объединение </w:t>
      </w:r>
      <w:r>
        <w:rPr>
          <w:rFonts w:ascii="Cambria" w:hAnsi="Cambria" w:cs="Times New Roman" w:eastAsia="Times New Roman"/>
          <w:b/>
          <w:bCs/>
          <w:sz w:val="24"/>
          <w:szCs w:val="24"/>
          <w:lang w:eastAsia="ru-RU"/>
        </w:rPr>
        <w:t xml:space="preserve">«Северное братство»</w:t>
      </w:r>
      <w:r>
        <w:rPr>
          <w:rFonts w:ascii="Cambria" w:hAnsi="Cambria" w:cs="Times New Roman" w:eastAsia="Times New Roman"/>
          <w:sz w:val="24"/>
          <w:szCs w:val="24"/>
          <w:lang w:eastAsia="ru-RU"/>
        </w:rPr>
        <w:t xml:space="preserve"> (решение Московского городского суда от 03 августа 2012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33.Кировская региональная общественная организация </w:t>
      </w:r>
      <w:r>
        <w:rPr>
          <w:rFonts w:ascii="Cambria" w:hAnsi="Cambria" w:cs="Times New Roman" w:eastAsia="Times New Roman"/>
          <w:b/>
          <w:bCs/>
          <w:sz w:val="24"/>
          <w:szCs w:val="24"/>
          <w:lang w:eastAsia="ru-RU"/>
        </w:rPr>
        <w:t xml:space="preserve">«Клуб Болельщиков Футбольного Клуба «Динамо» Киров»</w:t>
      </w:r>
      <w:r>
        <w:rPr>
          <w:rFonts w:ascii="Cambria" w:hAnsi="Cambria" w:cs="Times New Roman" w:eastAsia="Times New Roman"/>
          <w:sz w:val="24"/>
          <w:szCs w:val="24"/>
          <w:lang w:eastAsia="ru-RU"/>
        </w:rPr>
        <w:t xml:space="preserve">(решение Кировского областного суда от 03 июля 2013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34.Религиозная группа </w:t>
      </w:r>
      <w:r>
        <w:rPr>
          <w:rFonts w:ascii="Cambria" w:hAnsi="Cambria" w:cs="Times New Roman" w:eastAsia="Times New Roman"/>
          <w:b/>
          <w:bCs/>
          <w:sz w:val="24"/>
          <w:szCs w:val="24"/>
          <w:lang w:eastAsia="ru-RU"/>
        </w:rPr>
        <w:t xml:space="preserve">«Файзрахманисты»</w:t>
      </w:r>
      <w:r>
        <w:rPr>
          <w:rFonts w:ascii="Cambria" w:hAnsi="Cambria" w:cs="Times New Roman" w:eastAsia="Times New Roman"/>
          <w:bCs/>
          <w:sz w:val="24"/>
          <w:szCs w:val="24"/>
          <w:lang w:eastAsia="ru-RU"/>
        </w:rPr>
        <w:t xml:space="preserve">,</w:t>
      </w:r>
      <w:r>
        <w:rPr>
          <w:rFonts w:ascii="Cambria" w:hAnsi="Cambria" w:cs="Times New Roman" w:eastAsia="Times New Roman"/>
          <w:sz w:val="24"/>
          <w:szCs w:val="24"/>
          <w:lang w:eastAsia="ru-RU"/>
        </w:rPr>
        <w:t xml:space="preserve"> возглавляемая Саттаровым Файзрахманом Миннахметовичем, Ганиевым Гумаром Гимерхановичем (заочное решение Советского районного суда г. Казани Республики Татарстан от 21 февраля 2013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35.Местная религиозная организация </w:t>
      </w:r>
      <w:r>
        <w:rPr>
          <w:rFonts w:ascii="Cambria" w:hAnsi="Cambria" w:cs="Times New Roman" w:eastAsia="Times New Roman"/>
          <w:b/>
          <w:bCs/>
          <w:sz w:val="24"/>
          <w:szCs w:val="24"/>
          <w:lang w:eastAsia="ru-RU"/>
        </w:rPr>
        <w:t xml:space="preserve">«Мусульманская религиозная организация п. Боровский Тюменского района Тюменской области»</w:t>
      </w:r>
      <w:r>
        <w:rPr>
          <w:rFonts w:ascii="Cambria" w:hAnsi="Cambria" w:cs="Times New Roman" w:eastAsia="Times New Roman"/>
          <w:sz w:val="24"/>
          <w:szCs w:val="24"/>
          <w:lang w:eastAsia="ru-RU"/>
        </w:rPr>
        <w:t xml:space="preserve">(решение Тюменского областного суда от 06 мая 2014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36. </w:t>
      </w:r>
      <w:r>
        <w:rPr>
          <w:rFonts w:ascii="Cambria" w:hAnsi="Cambria" w:cs="Times New Roman" w:eastAsia="Times New Roman"/>
          <w:b/>
          <w:bCs/>
          <w:sz w:val="24"/>
          <w:szCs w:val="24"/>
          <w:lang w:eastAsia="ru-RU"/>
        </w:rPr>
        <w:t xml:space="preserve">Община Коренного Русского народа Щелковского района Московской области</w:t>
      </w:r>
      <w:r>
        <w:rPr>
          <w:rFonts w:ascii="Cambria" w:hAnsi="Cambria" w:cs="Times New Roman" w:eastAsia="Times New Roman"/>
          <w:sz w:val="24"/>
          <w:szCs w:val="24"/>
          <w:lang w:eastAsia="ru-RU"/>
        </w:rPr>
        <w:t xml:space="preserve"> (решение Щелковского городского суда Московской области от 25 февраля 2014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37. </w:t>
      </w:r>
      <w:r>
        <w:rPr>
          <w:rFonts w:ascii="Cambria" w:hAnsi="Cambria" w:cs="Times New Roman" w:eastAsia="Times New Roman"/>
          <w:bCs/>
          <w:sz w:val="24"/>
          <w:szCs w:val="24"/>
          <w:lang w:eastAsia="ru-RU"/>
        </w:rPr>
        <w:t xml:space="preserve">Украинская организация </w:t>
      </w:r>
      <w:r>
        <w:rPr>
          <w:rFonts w:ascii="Cambria" w:hAnsi="Cambria" w:cs="Times New Roman" w:eastAsia="Times New Roman"/>
          <w:b/>
          <w:bCs/>
          <w:sz w:val="24"/>
          <w:szCs w:val="24"/>
          <w:lang w:eastAsia="ru-RU"/>
        </w:rPr>
        <w:t xml:space="preserve">«Правый сектор»</w:t>
      </w:r>
      <w:r>
        <w:rPr>
          <w:rFonts w:ascii="Cambria" w:hAnsi="Cambria" w:cs="Times New Roman" w:eastAsia="Times New Roman"/>
          <w:sz w:val="24"/>
          <w:szCs w:val="24"/>
          <w:lang w:eastAsia="ru-RU"/>
        </w:rPr>
        <w:t xml:space="preserve"> (решение Верховного Суда Российской Федерации от 17 ноября 2014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38.</w:t>
      </w:r>
      <w:r>
        <w:rPr>
          <w:rFonts w:ascii="Cambria" w:hAnsi="Cambria" w:cs="Times New Roman" w:eastAsia="Times New Roman"/>
          <w:bCs/>
          <w:sz w:val="24"/>
          <w:szCs w:val="24"/>
          <w:lang w:eastAsia="ru-RU"/>
        </w:rPr>
        <w:t xml:space="preserve">Украинская организация </w:t>
      </w:r>
      <w:r>
        <w:rPr>
          <w:rFonts w:ascii="Cambria" w:hAnsi="Cambria" w:cs="Times New Roman" w:eastAsia="Times New Roman"/>
          <w:b/>
          <w:bCs/>
          <w:sz w:val="24"/>
          <w:szCs w:val="24"/>
          <w:lang w:eastAsia="ru-RU"/>
        </w:rPr>
        <w:t xml:space="preserve">«Украинская национальная ассамблея – Украинская народная самооборона»</w:t>
      </w:r>
      <w:r>
        <w:rPr>
          <w:rFonts w:ascii="Cambria" w:hAnsi="Cambria" w:cs="Times New Roman" w:eastAsia="Times New Roman"/>
          <w:bCs/>
          <w:sz w:val="24"/>
          <w:szCs w:val="24"/>
          <w:lang w:eastAsia="ru-RU"/>
        </w:rPr>
        <w:t xml:space="preserve"> (УНА - УНСО) </w:t>
      </w:r>
      <w:r>
        <w:rPr>
          <w:rFonts w:ascii="Cambria" w:hAnsi="Cambria" w:cs="Times New Roman" w:eastAsia="Times New Roman"/>
          <w:sz w:val="24"/>
          <w:szCs w:val="24"/>
          <w:lang w:eastAsia="ru-RU"/>
        </w:rPr>
        <w:t xml:space="preserve">(решение Верховного Суда Российской Федерации от 17 ноября 2014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39. </w:t>
      </w:r>
      <w:r>
        <w:rPr>
          <w:rFonts w:ascii="Cambria" w:hAnsi="Cambria" w:cs="Times New Roman" w:eastAsia="Times New Roman"/>
          <w:bCs/>
          <w:sz w:val="24"/>
          <w:szCs w:val="24"/>
          <w:lang w:eastAsia="ru-RU"/>
        </w:rPr>
        <w:t xml:space="preserve">Украинская организация </w:t>
      </w:r>
      <w:r>
        <w:rPr>
          <w:rFonts w:ascii="Cambria" w:hAnsi="Cambria" w:cs="Times New Roman" w:eastAsia="Times New Roman"/>
          <w:b/>
          <w:bCs/>
          <w:sz w:val="24"/>
          <w:szCs w:val="24"/>
          <w:lang w:eastAsia="ru-RU"/>
        </w:rPr>
        <w:t xml:space="preserve">«Украинская повстанческая армия»</w:t>
      </w:r>
      <w:r>
        <w:rPr>
          <w:rFonts w:ascii="Cambria" w:hAnsi="Cambria" w:cs="Times New Roman" w:eastAsia="Times New Roman"/>
          <w:bCs/>
          <w:sz w:val="24"/>
          <w:szCs w:val="24"/>
          <w:lang w:eastAsia="ru-RU"/>
        </w:rPr>
        <w:t xml:space="preserve"> (УПА)</w:t>
      </w:r>
      <w:r>
        <w:rPr>
          <w:rFonts w:ascii="Cambria" w:hAnsi="Cambria" w:cs="Times New Roman" w:eastAsia="Times New Roman"/>
          <w:sz w:val="24"/>
          <w:szCs w:val="24"/>
          <w:lang w:eastAsia="ru-RU"/>
        </w:rPr>
        <w:t xml:space="preserve"> (решение Верховного Суда Российской Федерации от 17 ноября 2014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sz w:val="24"/>
          <w:szCs w:val="24"/>
          <w:lang w:eastAsia="ru-RU"/>
        </w:rPr>
        <w:t xml:space="preserve">40. </w:t>
      </w:r>
      <w:r>
        <w:rPr>
          <w:rFonts w:ascii="Cambria" w:hAnsi="Cambria" w:cs="Times New Roman" w:eastAsia="Times New Roman"/>
          <w:bCs/>
          <w:sz w:val="24"/>
          <w:szCs w:val="24"/>
          <w:lang w:eastAsia="ru-RU"/>
        </w:rPr>
        <w:t xml:space="preserve">Украинская организация </w:t>
      </w:r>
      <w:r>
        <w:rPr>
          <w:rFonts w:ascii="Cambria" w:hAnsi="Cambria" w:cs="Times New Roman" w:eastAsia="Times New Roman"/>
          <w:b/>
          <w:bCs/>
          <w:sz w:val="24"/>
          <w:szCs w:val="24"/>
          <w:lang w:eastAsia="ru-RU"/>
        </w:rPr>
        <w:t xml:space="preserve">«Тризуб им. Степана Бандеры»</w:t>
      </w:r>
      <w:r>
        <w:rPr>
          <w:rFonts w:ascii="Cambria" w:hAnsi="Cambria" w:cs="Times New Roman" w:eastAsia="Times New Roman"/>
          <w:sz w:val="24"/>
          <w:szCs w:val="24"/>
          <w:lang w:eastAsia="ru-RU"/>
        </w:rPr>
        <w:t xml:space="preserve"> (решение Верховного Суда Российской Федерации от 17 ноября 2014 года);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41. </w:t>
      </w:r>
      <w:r>
        <w:rPr>
          <w:rFonts w:ascii="Cambria" w:hAnsi="Cambria"/>
          <w:bCs/>
        </w:rPr>
        <w:t xml:space="preserve">Украинская организация </w:t>
      </w:r>
      <w:r>
        <w:rPr>
          <w:rFonts w:ascii="Cambria" w:hAnsi="Cambria"/>
          <w:b/>
          <w:bCs/>
        </w:rPr>
        <w:t xml:space="preserve">«Братство»</w:t>
      </w:r>
      <w:r>
        <w:rPr>
          <w:rFonts w:ascii="Cambria" w:hAnsi="Cambria"/>
        </w:rPr>
        <w:t xml:space="preserve"> (решение Верховного Суда Российской Федерации от 17 ноября 2014 года);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42. </w:t>
      </w:r>
      <w:r>
        <w:rPr>
          <w:rFonts w:ascii="Cambria" w:hAnsi="Cambria"/>
          <w:bCs/>
        </w:rPr>
        <w:t xml:space="preserve">Военно-патриотический клуб </w:t>
      </w:r>
      <w:r>
        <w:rPr>
          <w:rFonts w:ascii="Cambria" w:hAnsi="Cambria"/>
          <w:b/>
          <w:bCs/>
        </w:rPr>
        <w:t xml:space="preserve">«Белый Крест»</w:t>
      </w:r>
      <w:r>
        <w:rPr>
          <w:rFonts w:ascii="Cambria" w:hAnsi="Cambria"/>
        </w:rPr>
        <w:t xml:space="preserve"> (решение Мурманского областного суда от 29 июня 2015 года);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43. Организация - межрегиональное национал-радикальное объединение </w:t>
      </w:r>
      <w:r>
        <w:rPr>
          <w:rFonts w:ascii="Cambria" w:hAnsi="Cambria"/>
          <w:b/>
        </w:rPr>
        <w:t xml:space="preserve">«</w:t>
      </w:r>
      <w:r>
        <w:rPr>
          <w:rFonts w:ascii="Cambria" w:hAnsi="Cambria"/>
          <w:b w:val="false"/>
        </w:rPr>
        <w:t xml:space="preserve">Misanthropic division»</w:t>
      </w:r>
      <w:r>
        <w:rPr>
          <w:rFonts w:ascii="Cambria" w:hAnsi="Cambria"/>
        </w:rPr>
        <w:t xml:space="preserve"> (название на русском языке «Мизантропик дивижн» или «Человеконенавистническая дивизия»), оно же «Misanthropic Division» «MD», оно же «Md» (решение Красноярского краевого суда от 17 июля 2015 года);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44. </w:t>
      </w:r>
      <w:r>
        <w:rPr>
          <w:rFonts w:ascii="Cambria" w:hAnsi="Cambria"/>
          <w:b/>
        </w:rPr>
        <w:t xml:space="preserve">Религиозное объединение последователей </w:t>
      </w:r>
      <w:r>
        <w:rPr>
          <w:rFonts w:ascii="Cambria" w:hAnsi="Cambria"/>
          <w:b/>
          <w:bCs/>
        </w:rPr>
        <w:t xml:space="preserve">инглиизма</w:t>
      </w:r>
      <w:r>
        <w:rPr>
          <w:rFonts w:ascii="Cambria" w:hAnsi="Cambria"/>
          <w:b/>
        </w:rPr>
        <w:t xml:space="preserve"> в Ставропольском крае</w:t>
      </w:r>
      <w:r>
        <w:rPr>
          <w:rFonts w:ascii="Cambria" w:hAnsi="Cambria"/>
        </w:rPr>
        <w:t xml:space="preserve"> (решение Ставропольского краевого суда от 21 августа 2015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45.</w:t>
      </w:r>
      <w:r>
        <w:rPr>
          <w:rFonts w:ascii="Cambria" w:hAnsi="Cambria" w:cs="Times New Roman" w:eastAsia="Times New Roman"/>
          <w:sz w:val="24"/>
          <w:szCs w:val="24"/>
          <w:lang w:eastAsia="ru-RU"/>
        </w:rPr>
        <w:t xml:space="preserve">Общественное объединение </w:t>
      </w:r>
      <w:r>
        <w:rPr>
          <w:rFonts w:ascii="Cambria" w:hAnsi="Cambria" w:cs="Times New Roman" w:eastAsia="Times New Roman"/>
          <w:b/>
          <w:sz w:val="24"/>
          <w:szCs w:val="24"/>
          <w:lang w:eastAsia="ru-RU"/>
        </w:rPr>
        <w:t xml:space="preserve">«</w:t>
      </w:r>
      <w:r>
        <w:rPr>
          <w:rFonts w:ascii="Cambria" w:hAnsi="Cambria" w:cs="Times New Roman" w:eastAsia="Times New Roman"/>
          <w:b/>
          <w:bCs/>
          <w:sz w:val="24"/>
          <w:szCs w:val="24"/>
          <w:lang w:eastAsia="ru-RU"/>
        </w:rPr>
        <w:t xml:space="preserve">Меджлис крымско-татарского народа»</w:t>
      </w:r>
      <w:r>
        <w:rPr>
          <w:rFonts w:ascii="Cambria" w:hAnsi="Cambria" w:cs="Times New Roman" w:eastAsia="Times New Roman"/>
          <w:bCs/>
          <w:sz w:val="24"/>
          <w:szCs w:val="24"/>
          <w:lang w:eastAsia="ru-RU"/>
        </w:rPr>
        <w:t xml:space="preserve"> (</w:t>
      </w:r>
      <w:r>
        <w:rPr>
          <w:rFonts w:ascii="Cambria" w:hAnsi="Cambria" w:cs="Times New Roman" w:eastAsia="Times New Roman"/>
          <w:sz w:val="24"/>
          <w:szCs w:val="24"/>
          <w:lang w:eastAsia="ru-RU"/>
        </w:rPr>
        <w:t xml:space="preserve">решения прокурора Республики Крым о приостановлении деятельности общественного объединения от 18 апреля 2016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46. </w:t>
      </w:r>
      <w:r>
        <w:rPr>
          <w:rFonts w:ascii="Cambria" w:hAnsi="Cambria" w:cs="Times New Roman" w:eastAsia="Times New Roman"/>
          <w:b/>
          <w:bCs/>
          <w:sz w:val="24"/>
          <w:szCs w:val="24"/>
          <w:lang w:eastAsia="ru-RU"/>
        </w:rPr>
        <w:t xml:space="preserve">Религиозное объединение последователей инглиизма в Ставропольском крае</w:t>
      </w:r>
      <w:r>
        <w:rPr>
          <w:rFonts w:ascii="Cambria" w:hAnsi="Cambria" w:cs="Times New Roman" w:eastAsia="Times New Roman"/>
          <w:bCs/>
          <w:sz w:val="24"/>
          <w:szCs w:val="24"/>
          <w:lang w:eastAsia="ru-RU"/>
        </w:rPr>
        <w:t xml:space="preserve"> (решение Ставропольского краевого суда от 21 августа 2015 года); </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47. Межрегиональное общественное объединение – организация </w:t>
      </w:r>
      <w:r>
        <w:rPr>
          <w:rFonts w:ascii="Cambria" w:hAnsi="Cambria" w:cs="Times New Roman" w:eastAsia="Times New Roman"/>
          <w:b/>
          <w:bCs/>
          <w:sz w:val="24"/>
          <w:szCs w:val="24"/>
          <w:lang w:eastAsia="ru-RU"/>
        </w:rPr>
        <w:t xml:space="preserve">«Народная Социальная Инициатива»</w:t>
      </w:r>
      <w:r>
        <w:rPr>
          <w:rFonts w:ascii="Cambria" w:hAnsi="Cambria" w:cs="Times New Roman" w:eastAsia="Times New Roman"/>
          <w:bCs/>
          <w:sz w:val="24"/>
          <w:szCs w:val="24"/>
          <w:lang w:eastAsia="ru-RU"/>
        </w:rPr>
        <w:t xml:space="preserve"> (другие названия: «Народная Социалистическая Инициатива», «Национальная Социальная Инициатива», «Национальная Социалистическая Инициатива») </w:t>
      </w:r>
      <w:r>
        <w:rPr>
          <w:rFonts w:ascii="Cambria" w:hAnsi="Cambria" w:cs="Times New Roman" w:eastAsia="Times New Roman"/>
          <w:bCs/>
          <w:sz w:val="24"/>
          <w:szCs w:val="24"/>
          <w:lang w:eastAsia="ru-RU"/>
        </w:rPr>
        <w:br/>
        <w:t xml:space="preserve">(решение Санкт-Петербургского городского суда от 16 сентября 2015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48. </w:t>
      </w:r>
      <w:r>
        <w:rPr>
          <w:rFonts w:ascii="Cambria" w:hAnsi="Cambria" w:cs="Times New Roman" w:eastAsia="Times New Roman"/>
          <w:b/>
          <w:bCs/>
          <w:sz w:val="24"/>
          <w:szCs w:val="24"/>
          <w:lang w:eastAsia="ru-RU"/>
        </w:rPr>
        <w:t xml:space="preserve">Местная религиозная организация Свидетелей Иеговы г. Абинска</w:t>
      </w:r>
      <w:r>
        <w:rPr>
          <w:rFonts w:ascii="Cambria" w:hAnsi="Cambria" w:cs="Times New Roman" w:eastAsia="Times New Roman"/>
          <w:bCs/>
          <w:sz w:val="24"/>
          <w:szCs w:val="24"/>
          <w:lang w:eastAsia="ru-RU"/>
        </w:rPr>
        <w:t xml:space="preserve"> (решение Краснодарского краевого суда от 04 марта 2015 года и определение Судебной коллегии по административным делам Верховного Суда Российской Федерации от 05 августа 2015 года);</w:t>
      </w:r>
      <w:r/>
    </w:p>
    <w:p>
      <w:pPr>
        <w:ind w:firstLine="709"/>
        <w:jc w:val="both"/>
        <w:spacing w:lineRule="auto" w:line="240" w:after="0"/>
        <w:rPr>
          <w:rFonts w:ascii="Cambria" w:hAnsi="Cambria" w:cs="Times New Roman" w:eastAsia="Times New Roman"/>
          <w:sz w:val="24"/>
          <w:szCs w:val="24"/>
          <w:lang w:eastAsia="ru-RU"/>
        </w:rPr>
      </w:pPr>
      <w:r>
        <w:rPr>
          <w:rFonts w:ascii="Cambria" w:hAnsi="Cambria" w:cs="Times New Roman" w:eastAsia="Times New Roman"/>
          <w:bCs/>
          <w:sz w:val="24"/>
          <w:szCs w:val="24"/>
          <w:lang w:eastAsia="ru-RU"/>
        </w:rPr>
        <w:t xml:space="preserve">49. Общественное движение</w:t>
      </w:r>
      <w:r>
        <w:rPr>
          <w:rFonts w:ascii="Cambria" w:hAnsi="Cambria" w:cs="Times New Roman" w:eastAsia="Times New Roman"/>
          <w:b w:val="false"/>
          <w:bCs/>
          <w:sz w:val="24"/>
          <w:szCs w:val="24"/>
          <w:lang w:eastAsia="ru-RU"/>
        </w:rPr>
        <w:t xml:space="preserve"> </w:t>
      </w:r>
      <w:r>
        <w:rPr>
          <w:rFonts w:ascii="Cambria" w:hAnsi="Cambria" w:cs="Times New Roman" w:eastAsia="Times New Roman"/>
          <w:b w:val="false"/>
          <w:bCs/>
          <w:sz w:val="24"/>
          <w:szCs w:val="24"/>
          <w:lang w:eastAsia="ru-RU"/>
        </w:rPr>
        <w:t xml:space="preserve">«Tula Skins»</w:t>
      </w:r>
      <w:r>
        <w:rPr>
          <w:rFonts w:ascii="Cambria" w:hAnsi="Cambria" w:cs="Times New Roman" w:eastAsia="Times New Roman"/>
          <w:bCs/>
          <w:sz w:val="24"/>
          <w:szCs w:val="24"/>
          <w:lang w:eastAsia="ru-RU"/>
        </w:rPr>
        <w:t xml:space="preserve"> (решение Советского районного суда г. Тулы от 06 июля 2015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50. Региональное общественное объединение </w:t>
      </w:r>
      <w:r>
        <w:rPr>
          <w:rFonts w:ascii="Cambria" w:hAnsi="Cambria" w:cs="Times New Roman" w:eastAsia="Times New Roman"/>
          <w:b/>
          <w:bCs/>
          <w:sz w:val="24"/>
          <w:szCs w:val="24"/>
          <w:lang w:eastAsia="ru-RU"/>
        </w:rPr>
        <w:t xml:space="preserve">«Русское национальное объединение «Атака»</w:t>
      </w:r>
      <w:r>
        <w:rPr>
          <w:rFonts w:ascii="Cambria" w:hAnsi="Cambria" w:cs="Times New Roman" w:eastAsia="Times New Roman"/>
          <w:bCs/>
          <w:sz w:val="24"/>
          <w:szCs w:val="24"/>
          <w:lang w:eastAsia="ru-RU"/>
        </w:rPr>
        <w:t xml:space="preserve"> (решение Московского городского суда от 11 августа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51.Религиозная группа </w:t>
      </w:r>
      <w:r>
        <w:rPr>
          <w:rFonts w:ascii="Cambria" w:hAnsi="Cambria" w:cs="Times New Roman" w:eastAsia="Times New Roman"/>
          <w:b/>
          <w:bCs/>
          <w:sz w:val="24"/>
          <w:szCs w:val="24"/>
          <w:lang w:eastAsia="ru-RU"/>
        </w:rPr>
        <w:t xml:space="preserve">«Молельный дом «Мечеть Мирмамеда»</w:t>
      </w:r>
      <w:r>
        <w:rPr>
          <w:rFonts w:ascii="Cambria" w:hAnsi="Cambria" w:cs="Times New Roman" w:eastAsia="Times New Roman"/>
          <w:bCs/>
          <w:sz w:val="24"/>
          <w:szCs w:val="24"/>
          <w:lang w:eastAsia="ru-RU"/>
        </w:rPr>
        <w:t xml:space="preserve"> (</w:t>
      </w:r>
      <w:hyperlink r:id="rId32" w:history="1">
        <w:r>
          <w:rPr>
            <w:rFonts w:ascii="Cambria" w:hAnsi="Cambria" w:cs="Times New Roman" w:eastAsia="Times New Roman"/>
            <w:bCs/>
            <w:color w:val="000000"/>
            <w:sz w:val="24"/>
            <w:szCs w:val="24"/>
            <w:lang w:eastAsia="ru-RU"/>
          </w:rPr>
          <w:t xml:space="preserve">решение</w:t>
        </w:r>
      </w:hyperlink>
      <w:r>
        <w:rPr>
          <w:rFonts w:ascii="Cambria" w:hAnsi="Cambria" w:cs="Times New Roman" w:eastAsia="Times New Roman"/>
          <w:bCs/>
          <w:sz w:val="24"/>
          <w:szCs w:val="24"/>
          <w:lang w:eastAsia="ru-RU"/>
        </w:rPr>
        <w:t xml:space="preserve"> Самарского областного суда от 22 июля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sz w:val="24"/>
          <w:szCs w:val="24"/>
          <w:lang w:eastAsia="ru-RU"/>
        </w:rPr>
        <w:t xml:space="preserve">52. </w:t>
      </w:r>
      <w:r>
        <w:rPr>
          <w:rFonts w:ascii="Cambria" w:hAnsi="Cambria" w:cs="Times New Roman" w:eastAsia="Times New Roman"/>
          <w:bCs/>
          <w:sz w:val="24"/>
          <w:szCs w:val="24"/>
          <w:lang w:eastAsia="ru-RU"/>
        </w:rPr>
        <w:t xml:space="preserve">Межрегиональное общественное объединение </w:t>
      </w:r>
      <w:r>
        <w:rPr>
          <w:rFonts w:ascii="Cambria" w:hAnsi="Cambria" w:cs="Times New Roman" w:eastAsia="Times New Roman"/>
          <w:b/>
          <w:bCs/>
          <w:sz w:val="24"/>
          <w:szCs w:val="24"/>
          <w:lang w:eastAsia="ru-RU"/>
        </w:rPr>
        <w:t xml:space="preserve">«Этнополитическое объединение «Русские»</w:t>
      </w:r>
      <w:r>
        <w:rPr>
          <w:rFonts w:ascii="Cambria" w:hAnsi="Cambria" w:cs="Times New Roman" w:eastAsia="Times New Roman"/>
          <w:bCs/>
          <w:sz w:val="24"/>
          <w:szCs w:val="24"/>
          <w:lang w:eastAsia="ru-RU"/>
        </w:rPr>
        <w:t xml:space="preserve"> (решение Московского городского суда от 28 октября 2015 года и апелляционное определение Судебной коллегии по административным делам Верховного Суда Российской Федерации от 11 мая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53. </w:t>
      </w:r>
      <w:r>
        <w:rPr>
          <w:rFonts w:ascii="Cambria" w:hAnsi="Cambria" w:cs="Times New Roman" w:eastAsia="Times New Roman"/>
          <w:b/>
          <w:bCs/>
          <w:sz w:val="24"/>
          <w:szCs w:val="24"/>
          <w:lang w:eastAsia="ru-RU"/>
        </w:rPr>
        <w:t xml:space="preserve">Местная религиозная организация Свидетелей Иеговы г. Старый Оскол</w:t>
      </w:r>
      <w:r>
        <w:rPr>
          <w:rFonts w:ascii="Cambria" w:hAnsi="Cambria" w:cs="Times New Roman" w:eastAsia="Times New Roman"/>
          <w:bCs/>
          <w:sz w:val="24"/>
          <w:szCs w:val="24"/>
          <w:lang w:eastAsia="ru-RU"/>
        </w:rPr>
        <w:t xml:space="preserve"> (решение Белгородского областного суда от 10 февраля 2016 года и апелляционное определение Судебной коллегии по административным делам Верховного Суда Российской Федерации от 16 июня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54. </w:t>
      </w:r>
      <w:r>
        <w:rPr>
          <w:rFonts w:ascii="Cambria" w:hAnsi="Cambria" w:cs="Times New Roman" w:eastAsia="Times New Roman"/>
          <w:b/>
          <w:bCs/>
          <w:sz w:val="24"/>
          <w:szCs w:val="24"/>
          <w:lang w:eastAsia="ru-RU"/>
        </w:rPr>
        <w:t xml:space="preserve">Местная религиозная организация Свидетелей Иеговы г. Белгорода</w:t>
      </w:r>
      <w:r>
        <w:rPr>
          <w:rFonts w:ascii="Cambria" w:hAnsi="Cambria" w:cs="Times New Roman" w:eastAsia="Times New Roman"/>
          <w:bCs/>
          <w:sz w:val="24"/>
          <w:szCs w:val="24"/>
          <w:lang w:eastAsia="ru-RU"/>
        </w:rPr>
        <w:br/>
        <w:t xml:space="preserve">(решение Белгородского областного суда от 11 февраля 2016 года и апелляционное определение Судебной коллегии по административным делам Верховного Суда Российской Федерации от 09 июня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55. </w:t>
      </w:r>
      <w:r>
        <w:rPr>
          <w:rFonts w:ascii="Cambria" w:hAnsi="Cambria" w:cs="Times New Roman" w:eastAsia="Times New Roman"/>
          <w:b/>
          <w:bCs/>
          <w:sz w:val="24"/>
          <w:szCs w:val="24"/>
          <w:lang w:eastAsia="ru-RU"/>
        </w:rPr>
        <w:t xml:space="preserve">Местная религиозная организация Свидетелей Иеговы г. Элиста</w:t>
      </w:r>
      <w:r>
        <w:rPr>
          <w:rFonts w:ascii="Cambria" w:hAnsi="Cambria" w:cs="Times New Roman" w:eastAsia="Times New Roman"/>
          <w:bCs/>
          <w:sz w:val="24"/>
          <w:szCs w:val="24"/>
          <w:lang w:eastAsia="ru-RU"/>
        </w:rPr>
        <w:t xml:space="preserve"> (решение Верховного Суда Республики Калмыкия от 25 февраля 2016 года и апелляционное определение Судебной коллегии по административным делам Верховного Суда Российской Федерации от 07 июля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56. </w:t>
      </w:r>
      <w:r>
        <w:rPr>
          <w:rFonts w:ascii="Cambria" w:hAnsi="Cambria" w:cs="Times New Roman" w:eastAsia="Times New Roman"/>
          <w:b/>
          <w:bCs/>
          <w:sz w:val="24"/>
          <w:szCs w:val="24"/>
          <w:lang w:eastAsia="ru-RU"/>
        </w:rPr>
        <w:t xml:space="preserve">Местная религиозная организация Свидетелей Иеговы «Орел»</w:t>
      </w:r>
      <w:r>
        <w:rPr>
          <w:rFonts w:ascii="Cambria" w:hAnsi="Cambria" w:cs="Times New Roman" w:eastAsia="Times New Roman"/>
          <w:bCs/>
          <w:sz w:val="24"/>
          <w:szCs w:val="24"/>
          <w:lang w:eastAsia="ru-RU"/>
        </w:rPr>
        <w:t xml:space="preserve"> (решение Орловского областного суда от 14 июня 2016 года и апелляционное определение Судебной коллегии по административным делам Верховного Суда Российской Федерации</w:t>
      </w:r>
      <w:r>
        <w:rPr>
          <w:rFonts w:ascii="Cambria" w:hAnsi="Cambria" w:cs="Times New Roman" w:eastAsia="Times New Roman"/>
          <w:bCs/>
          <w:sz w:val="24"/>
          <w:szCs w:val="24"/>
          <w:lang w:eastAsia="ru-RU"/>
        </w:rPr>
        <w:br/>
        <w:t xml:space="preserve">от 18 октября 2016 года);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bCs/>
        </w:rPr>
        <w:t xml:space="preserve">57. </w:t>
      </w:r>
      <w:r>
        <w:rPr>
          <w:rFonts w:ascii="Cambria" w:hAnsi="Cambria"/>
          <w:b/>
          <w:bCs/>
        </w:rPr>
        <w:t xml:space="preserve">Местная религиозная организация Свидетелей Иеговы в г. Биробиджане</w:t>
      </w:r>
      <w:r>
        <w:rPr>
          <w:rFonts w:ascii="Cambria" w:hAnsi="Cambria"/>
          <w:bCs/>
        </w:rPr>
        <w:br/>
        <w:t xml:space="preserve">(решение Суда Еврейской автономной области от 03 октября 2016 года и апелляционное определение Судебной коллегии по административным делам Верховного Суда Российской Федерации от 09 февраля 2017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58. Некоммерческая организация военно-патриотического воспитания молодежи </w:t>
      </w:r>
      <w:r>
        <w:rPr>
          <w:rFonts w:ascii="Cambria" w:hAnsi="Cambria" w:cs="Times New Roman" w:eastAsia="Times New Roman"/>
          <w:b/>
          <w:bCs/>
          <w:sz w:val="24"/>
          <w:szCs w:val="24"/>
          <w:lang w:eastAsia="ru-RU"/>
        </w:rPr>
        <w:t xml:space="preserve">«Рубеж Севера»</w:t>
      </w:r>
      <w:r>
        <w:rPr>
          <w:rFonts w:ascii="Cambria" w:hAnsi="Cambria" w:cs="Times New Roman" w:eastAsia="Times New Roman"/>
          <w:bCs/>
          <w:sz w:val="24"/>
          <w:szCs w:val="24"/>
          <w:lang w:eastAsia="ru-RU"/>
        </w:rPr>
        <w:t xml:space="preserve"> (решение Сыктывкарского городского суда Республики Коми от 23 ноября 2016 года и определение Сыктывкарского городского суда Республики Коми от 03 апреля 2017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59. </w:t>
      </w:r>
      <w:r>
        <w:rPr>
          <w:rFonts w:ascii="Cambria" w:hAnsi="Cambria" w:cs="Times New Roman" w:eastAsia="Times New Roman"/>
          <w:b/>
          <w:bCs/>
          <w:sz w:val="24"/>
          <w:szCs w:val="24"/>
          <w:lang w:eastAsia="ru-RU"/>
        </w:rPr>
        <w:t xml:space="preserve">Община Коренного Русского народа г. Астрахани Астраханской области</w:t>
      </w:r>
      <w:r>
        <w:rPr>
          <w:rFonts w:ascii="Cambria" w:hAnsi="Cambria" w:cs="Times New Roman" w:eastAsia="Times New Roman"/>
          <w:bCs/>
          <w:sz w:val="24"/>
          <w:szCs w:val="24"/>
          <w:lang w:eastAsia="ru-RU"/>
        </w:rPr>
        <w:br/>
        <w:t xml:space="preserve">(решение Советского районного суда г. Астрахани от 21 июля 2016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60. Общероссийская политическая партия </w:t>
      </w:r>
      <w:r>
        <w:rPr>
          <w:rFonts w:ascii="Cambria" w:hAnsi="Cambria" w:cs="Times New Roman" w:eastAsia="Times New Roman"/>
          <w:b/>
          <w:bCs/>
          <w:sz w:val="24"/>
          <w:szCs w:val="24"/>
          <w:lang w:eastAsia="ru-RU"/>
        </w:rPr>
        <w:t xml:space="preserve">«ВОЛЯ»</w:t>
      </w:r>
      <w:r>
        <w:rPr>
          <w:rFonts w:ascii="Cambria" w:hAnsi="Cambria" w:cs="Times New Roman" w:eastAsia="Times New Roman"/>
          <w:bCs/>
          <w:sz w:val="24"/>
          <w:szCs w:val="24"/>
          <w:lang w:eastAsia="ru-RU"/>
        </w:rPr>
        <w:t xml:space="preserve">, ее региональные отделения и иные структурные подразделения (решение Верховного Суда Российской Федерации </w:t>
      </w:r>
      <w:r>
        <w:rPr>
          <w:rFonts w:ascii="Cambria" w:hAnsi="Cambria" w:cs="Times New Roman" w:eastAsia="Times New Roman"/>
          <w:bCs/>
          <w:sz w:val="24"/>
          <w:szCs w:val="24"/>
          <w:lang w:eastAsia="ru-RU"/>
        </w:rPr>
        <w:br/>
        <w:t xml:space="preserve">от 09 августа 2016 года и апелляционное определение Апелляционной коллегии Верховного Суда Российской Федерации от 24 ноября 2016 года);</w:t>
      </w:r>
      <w:r/>
    </w:p>
    <w:p>
      <w:pPr>
        <w:ind w:firstLine="709"/>
        <w:jc w:val="both"/>
        <w:spacing w:lineRule="auto" w:line="240" w:after="0"/>
        <w:rPr>
          <w:rFonts w:ascii="Cambria" w:hAnsi="Cambria" w:cs="Times New Roman" w:eastAsia="Times New Roman"/>
          <w:color w:val="000000"/>
          <w:sz w:val="24"/>
          <w:szCs w:val="24"/>
          <w:shd w:val="clear" w:color="auto" w:fill="FFFFFF"/>
          <w:lang w:eastAsia="ru-RU"/>
        </w:rPr>
      </w:pPr>
      <w:r>
        <w:rPr>
          <w:rFonts w:ascii="Cambria" w:hAnsi="Cambria" w:cs="Times New Roman" w:eastAsia="Times New Roman"/>
          <w:color w:val="000000"/>
          <w:sz w:val="24"/>
          <w:szCs w:val="24"/>
          <w:shd w:val="clear" w:color="auto" w:fill="FFFFFF"/>
          <w:lang w:eastAsia="ru-RU"/>
        </w:rPr>
        <w:t xml:space="preserve">61. Общественное объединение </w:t>
      </w:r>
      <w:r>
        <w:rPr>
          <w:rFonts w:ascii="Cambria" w:hAnsi="Cambria" w:cs="Times New Roman" w:eastAsia="Times New Roman"/>
          <w:b/>
          <w:color w:val="000000"/>
          <w:sz w:val="24"/>
          <w:szCs w:val="24"/>
          <w:shd w:val="clear" w:color="auto" w:fill="FFFFFF"/>
          <w:lang w:eastAsia="ru-RU"/>
        </w:rPr>
        <w:t xml:space="preserve">«Меджлис крымскотатарского народа»</w:t>
      </w:r>
      <w:r>
        <w:rPr>
          <w:rFonts w:ascii="Cambria" w:hAnsi="Cambria" w:cs="Times New Roman" w:eastAsia="Times New Roman"/>
          <w:color w:val="000000"/>
          <w:sz w:val="24"/>
          <w:szCs w:val="24"/>
          <w:shd w:val="clear" w:color="auto" w:fill="FFFFFF"/>
          <w:lang w:eastAsia="ru-RU"/>
        </w:rPr>
        <w:t xml:space="preserve"> (решение Верховного Суда Республики Крым от 26 апреля 2016 года и апелляционное определение Судебной коллегии по административным делам Верховного Суда Российской Федерации </w:t>
      </w:r>
      <w:r>
        <w:rPr>
          <w:rFonts w:ascii="Cambria" w:hAnsi="Cambria" w:cs="Times New Roman" w:eastAsia="Times New Roman"/>
          <w:color w:val="000000"/>
          <w:sz w:val="24"/>
          <w:szCs w:val="24"/>
          <w:shd w:val="clear" w:color="auto" w:fill="FFFFFF"/>
          <w:lang w:eastAsia="ru-RU"/>
        </w:rPr>
        <w:br/>
        <w:t xml:space="preserve">от 29 сентября 2016 года) (дата размещения сведений: 25 января 2017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62. Организация праворадикальных футбольных фанатов </w:t>
      </w:r>
      <w:r>
        <w:rPr>
          <w:rFonts w:ascii="Cambria" w:hAnsi="Cambria" w:cs="Times New Roman" w:eastAsia="Times New Roman"/>
          <w:b/>
          <w:bCs/>
          <w:sz w:val="24"/>
          <w:szCs w:val="24"/>
          <w:lang w:eastAsia="ru-RU"/>
        </w:rPr>
        <w:t xml:space="preserve">«ТОЙС»</w:t>
      </w:r>
      <w:r>
        <w:rPr>
          <w:rFonts w:ascii="Cambria" w:hAnsi="Cambria" w:cs="Times New Roman" w:eastAsia="Times New Roman"/>
          <w:bCs/>
          <w:sz w:val="24"/>
          <w:szCs w:val="24"/>
          <w:lang w:eastAsia="ru-RU"/>
        </w:rPr>
        <w:t xml:space="preserve"> (иные наименования «T.O.Y.S», «The Opposition Young Supporters») (решение Советского районного суда г. Самары от 11 апреля 2017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63. Религиозная организация </w:t>
      </w:r>
      <w:r>
        <w:rPr>
          <w:rFonts w:ascii="Cambria" w:hAnsi="Cambria" w:cs="Times New Roman" w:eastAsia="Times New Roman"/>
          <w:b/>
          <w:bCs/>
          <w:sz w:val="24"/>
          <w:szCs w:val="24"/>
          <w:lang w:eastAsia="ru-RU"/>
        </w:rPr>
        <w:t xml:space="preserve">«Управленческий центр Свидетелей Иеговы в России»</w:t>
      </w:r>
      <w:r>
        <w:rPr>
          <w:rFonts w:ascii="Cambria" w:hAnsi="Cambria" w:cs="Times New Roman" w:eastAsia="Times New Roman"/>
          <w:bCs/>
          <w:sz w:val="24"/>
          <w:szCs w:val="24"/>
          <w:lang w:eastAsia="ru-RU"/>
        </w:rPr>
        <w:t xml:space="preserve"> и входящие в ее структуру 385 местные религиозные организации: (решение Верховного Суда Российской Федерации от 20 апреля 2017 года, апелляционное определение Апелляционной коллегии Верховного Суда Российской Федерации от 17 июля 2017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63. </w:t>
      </w:r>
      <w:r>
        <w:rPr>
          <w:rFonts w:ascii="Cambria" w:hAnsi="Cambria" w:cs="Times New Roman" w:eastAsia="Times New Roman"/>
          <w:b/>
          <w:bCs/>
          <w:sz w:val="24"/>
          <w:szCs w:val="24"/>
          <w:lang w:eastAsia="ru-RU"/>
        </w:rPr>
        <w:t xml:space="preserve">Набережночелнинское отделение Татарстанского Регионального Всетатарского Политического Общественного Движения </w:t>
      </w:r>
      <w:r>
        <w:rPr>
          <w:rFonts w:ascii="Cambria" w:hAnsi="Cambria" w:cs="Times New Roman" w:eastAsia="Times New Roman"/>
          <w:bCs/>
          <w:sz w:val="24"/>
          <w:szCs w:val="24"/>
          <w:lang w:eastAsia="ru-RU"/>
        </w:rPr>
        <w:t xml:space="preserve">(РЕВТАТПОД)</w:t>
      </w:r>
      <w:r>
        <w:rPr>
          <w:rFonts w:ascii="Cambria" w:hAnsi="Cambria" w:cs="Times New Roman" w:eastAsia="Times New Roman"/>
          <w:b/>
          <w:bCs/>
          <w:sz w:val="24"/>
          <w:szCs w:val="24"/>
          <w:lang w:eastAsia="ru-RU"/>
        </w:rPr>
        <w:t xml:space="preserve"> - </w:t>
      </w:r>
      <w:r>
        <w:rPr>
          <w:rFonts w:ascii="Cambria" w:hAnsi="Cambria" w:cs="Times New Roman" w:eastAsia="Times New Roman"/>
          <w:b/>
          <w:bCs/>
          <w:sz w:val="24"/>
          <w:szCs w:val="24"/>
          <w:lang w:eastAsia="ru-RU"/>
        </w:rPr>
        <w:t xml:space="preserve">Всетатарского Общественного Центра</w:t>
      </w:r>
      <w:r>
        <w:rPr>
          <w:rFonts w:ascii="Cambria" w:hAnsi="Cambria" w:cs="Times New Roman" w:eastAsia="Times New Roman"/>
          <w:bCs/>
          <w:sz w:val="24"/>
          <w:szCs w:val="24"/>
          <w:lang w:eastAsia="ru-RU"/>
        </w:rPr>
        <w:t xml:space="preserve"> (ВТОЦ) (НЧО ТОЦ) (решение Набережночелнинского городского суда Республики Татарстан от 11 мая 2017 года, дата размещения сведений: 28 ноября 2017 года);</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64. Межрегиональное общественное движение </w:t>
      </w:r>
      <w:r>
        <w:rPr>
          <w:rFonts w:ascii="Cambria" w:hAnsi="Cambria"/>
          <w:b/>
          <w:bCs/>
        </w:rPr>
        <w:t xml:space="preserve">«Артподготовка»</w:t>
      </w:r>
      <w:r>
        <w:rPr>
          <w:rFonts w:ascii="Cambria" w:hAnsi="Cambria"/>
          <w:bCs/>
        </w:rPr>
        <w:t xml:space="preserve"> (решение Красноярского областного суда от 25 ноября 2017года);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65. Общественное движение </w:t>
      </w:r>
      <w:r>
        <w:rPr>
          <w:rFonts w:ascii="Cambria" w:hAnsi="Cambria" w:cs="Times New Roman" w:eastAsia="Times New Roman"/>
          <w:b/>
          <w:bCs/>
          <w:sz w:val="24"/>
          <w:szCs w:val="24"/>
          <w:lang w:eastAsia="ru-RU"/>
        </w:rPr>
        <w:t xml:space="preserve">«Штольц»</w:t>
      </w:r>
      <w:r>
        <w:rPr>
          <w:rFonts w:ascii="Cambria" w:hAnsi="Cambria" w:cs="Times New Roman" w:eastAsia="Times New Roman"/>
          <w:bCs/>
          <w:sz w:val="24"/>
          <w:szCs w:val="24"/>
          <w:lang w:eastAsia="ru-RU"/>
        </w:rPr>
        <w:t xml:space="preserve">, действующее под названием </w:t>
      </w:r>
      <w:r>
        <w:rPr>
          <w:rFonts w:ascii="Cambria" w:hAnsi="Cambria" w:cs="Times New Roman" w:eastAsia="Times New Roman"/>
          <w:b/>
          <w:bCs/>
          <w:sz w:val="24"/>
          <w:szCs w:val="24"/>
          <w:lang w:eastAsia="ru-RU"/>
        </w:rPr>
        <w:t xml:space="preserve">«Штольц</w:t>
      </w:r>
      <w:r>
        <w:rPr>
          <w:rFonts w:ascii="Cambria" w:hAnsi="Cambria" w:cs="Times New Roman" w:eastAsia="Times New Roman"/>
          <w:b/>
          <w:bCs/>
          <w:sz w:val="24"/>
          <w:szCs w:val="24"/>
          <w:lang w:eastAsia="ru-RU"/>
        </w:rPr>
        <w:br/>
        <w:t xml:space="preserve">Хабаровск»</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«Штольц Дальний Восток»</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«Штольц-Югент»</w:t>
      </w:r>
      <w:r>
        <w:rPr>
          <w:rFonts w:ascii="Cambria" w:hAnsi="Cambria" w:cs="Times New Roman" w:eastAsia="Times New Roman"/>
          <w:bCs/>
          <w:sz w:val="24"/>
          <w:szCs w:val="24"/>
          <w:lang w:eastAsia="ru-RU"/>
        </w:rPr>
        <w:t xml:space="preserve"> (решение Центрального районного суда г. Хабаровска от 01 декабря 2017 года, дата размещения сведений: 18 июля 2018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66. Православная религиозная группа </w:t>
      </w:r>
      <w:r>
        <w:rPr>
          <w:rFonts w:ascii="Cambria" w:hAnsi="Cambria" w:cs="Times New Roman" w:eastAsia="Times New Roman"/>
          <w:b/>
          <w:bCs/>
          <w:sz w:val="24"/>
          <w:szCs w:val="24"/>
          <w:lang w:eastAsia="ru-RU"/>
        </w:rPr>
        <w:t xml:space="preserve">«В честь иконы Божией Матери «Державная»</w:t>
      </w:r>
      <w:r>
        <w:rPr>
          <w:rFonts w:ascii="Cambria" w:hAnsi="Cambria" w:cs="Times New Roman" w:eastAsia="Times New Roman"/>
          <w:bCs/>
          <w:sz w:val="24"/>
          <w:szCs w:val="24"/>
          <w:lang w:eastAsia="ru-RU"/>
        </w:rPr>
        <w:t xml:space="preserve"> (решение Тульского областного суда от 25 июля 2016 года и апелляционное определение Судебной коллегии по административным делам Верховного Суда Российской Федерации от 21 марта 2017 года, дата размещения сведений: 01 августа 2018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67. Общественное объединение футбольных болельщиков </w:t>
      </w:r>
      <w:r>
        <w:rPr>
          <w:rFonts w:ascii="Cambria" w:hAnsi="Cambria" w:cs="Times New Roman" w:eastAsia="Times New Roman"/>
          <w:b/>
          <w:bCs/>
          <w:sz w:val="24"/>
          <w:szCs w:val="24"/>
          <w:lang w:eastAsia="ru-RU"/>
        </w:rPr>
        <w:t xml:space="preserve">«Сектор 16»</w:t>
      </w:r>
      <w:r>
        <w:rPr>
          <w:rFonts w:ascii="Cambria" w:hAnsi="Cambria" w:cs="Times New Roman" w:eastAsia="Times New Roman"/>
          <w:bCs/>
          <w:sz w:val="24"/>
          <w:szCs w:val="24"/>
          <w:lang w:eastAsia="ru-RU"/>
        </w:rPr>
        <w:t xml:space="preserve">Бугульминского муниципального района Республики Татарстан (иные наименования: «С-16», «Bugulma Ultras» (решение Бугульминского городского суда Республики Татарстан от 28 мая 2018 года, дата размещения сведений: 08 августа 2018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68.Региональный общественный фонд содействия национальному самоопределению народов Мира </w:t>
      </w:r>
      <w:r>
        <w:rPr>
          <w:rFonts w:ascii="Cambria" w:hAnsi="Cambria" w:cs="Times New Roman" w:eastAsia="Times New Roman"/>
          <w:b/>
          <w:bCs/>
          <w:sz w:val="24"/>
          <w:szCs w:val="24"/>
          <w:lang w:eastAsia="ru-RU"/>
        </w:rPr>
        <w:t xml:space="preserve">«Независимость»</w:t>
      </w:r>
      <w:r>
        <w:rPr>
          <w:rFonts w:ascii="Cambria" w:hAnsi="Cambria" w:cs="Times New Roman" w:eastAsia="Times New Roman"/>
          <w:bCs/>
          <w:sz w:val="24"/>
          <w:szCs w:val="24"/>
          <w:lang w:eastAsia="ru-RU"/>
        </w:rPr>
        <w:t xml:space="preserve"> (решение Московского городского суда от 01 декабря 2017 года, дата размещения сведений: 23 августа 2018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69. Организация футбольных болельщиков </w:t>
      </w:r>
      <w:r>
        <w:rPr>
          <w:rFonts w:ascii="Cambria" w:hAnsi="Cambria" w:cs="Times New Roman" w:eastAsia="Times New Roman"/>
          <w:b/>
          <w:bCs/>
          <w:sz w:val="24"/>
          <w:szCs w:val="24"/>
          <w:lang w:eastAsia="ru-RU"/>
        </w:rPr>
        <w:t xml:space="preserve">«Фирма»</w:t>
      </w:r>
      <w:r>
        <w:rPr>
          <w:rFonts w:ascii="Cambria" w:hAnsi="Cambria" w:cs="Times New Roman" w:eastAsia="Times New Roman"/>
          <w:bCs/>
          <w:sz w:val="24"/>
          <w:szCs w:val="24"/>
          <w:lang w:eastAsia="ru-RU"/>
        </w:rPr>
        <w:t xml:space="preserve"> футбольных фанатов </w:t>
      </w:r>
      <w:r>
        <w:rPr>
          <w:rFonts w:ascii="Cambria" w:hAnsi="Cambria" w:cs="Times New Roman" w:eastAsia="Times New Roman"/>
          <w:b/>
          <w:bCs/>
          <w:sz w:val="24"/>
          <w:szCs w:val="24"/>
          <w:lang w:eastAsia="ru-RU"/>
        </w:rPr>
        <w:t xml:space="preserve">«Поколение»</w:t>
      </w:r>
      <w:r>
        <w:rPr>
          <w:rFonts w:ascii="Cambria" w:hAnsi="Cambria" w:cs="Times New Roman" w:eastAsia="Times New Roman"/>
          <w:bCs/>
          <w:sz w:val="24"/>
          <w:szCs w:val="24"/>
          <w:lang w:eastAsia="ru-RU"/>
        </w:rPr>
        <w:t xml:space="preserve"> (решение Пролетарского районного суда г. Тулы от 14 июня 2018 года, дата размещения сведений: 23 августа 2018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70. Карельское региональное отделение межрегиональной молодежной общественной благотворительной организации </w:t>
      </w:r>
      <w:r>
        <w:rPr>
          <w:rFonts w:ascii="Cambria" w:hAnsi="Cambria" w:cs="Times New Roman" w:eastAsia="Times New Roman"/>
          <w:b/>
          <w:bCs/>
          <w:sz w:val="24"/>
          <w:szCs w:val="24"/>
          <w:lang w:eastAsia="ru-RU"/>
        </w:rPr>
        <w:t xml:space="preserve">«Молодежная правозащитная группа (МПГ)»</w:t>
      </w:r>
      <w:r>
        <w:rPr>
          <w:rFonts w:ascii="Cambria" w:hAnsi="Cambria" w:cs="Times New Roman" w:eastAsia="Times New Roman"/>
          <w:bCs/>
          <w:sz w:val="24"/>
          <w:szCs w:val="24"/>
          <w:lang w:eastAsia="ru-RU"/>
        </w:rPr>
        <w:t xml:space="preserve">(решение Верховного Суда Республики Карелия от 18 декабря 2014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71. Общественное объединение </w:t>
      </w:r>
      <w:r>
        <w:rPr>
          <w:rFonts w:ascii="Cambria" w:hAnsi="Cambria" w:cs="Times New Roman" w:eastAsia="Times New Roman"/>
          <w:b/>
          <w:bCs/>
          <w:sz w:val="24"/>
          <w:szCs w:val="24"/>
          <w:lang w:eastAsia="ru-RU"/>
        </w:rPr>
        <w:t xml:space="preserve">«Курсом Правды и Единения»</w:t>
      </w:r>
      <w:r>
        <w:rPr>
          <w:rFonts w:ascii="Cambria" w:hAnsi="Cambria" w:cs="Times New Roman" w:eastAsia="Times New Roman"/>
          <w:bCs/>
          <w:sz w:val="24"/>
          <w:szCs w:val="24"/>
          <w:lang w:eastAsia="ru-RU"/>
        </w:rPr>
        <w:t xml:space="preserve"> (Российское общенародное движение </w:t>
      </w:r>
      <w:r>
        <w:rPr>
          <w:rFonts w:ascii="Cambria" w:hAnsi="Cambria" w:cs="Times New Roman" w:eastAsia="Times New Roman"/>
          <w:b/>
          <w:bCs/>
          <w:sz w:val="24"/>
          <w:szCs w:val="24"/>
          <w:lang w:eastAsia="ru-RU"/>
        </w:rPr>
        <w:t xml:space="preserve">«Курсом Правды и Единения»</w:t>
      </w:r>
      <w:r>
        <w:rPr>
          <w:rFonts w:ascii="Cambria" w:hAnsi="Cambria" w:cs="Times New Roman" w:eastAsia="Times New Roman"/>
          <w:bCs/>
          <w:sz w:val="24"/>
          <w:szCs w:val="24"/>
          <w:lang w:eastAsia="ru-RU"/>
        </w:rPr>
        <w:t xml:space="preserve">, Всероссийская политическая партия </w:t>
      </w:r>
      <w:r>
        <w:rPr>
          <w:rFonts w:ascii="Cambria" w:hAnsi="Cambria" w:cs="Times New Roman" w:eastAsia="Times New Roman"/>
          <w:b/>
          <w:bCs/>
          <w:sz w:val="24"/>
          <w:szCs w:val="24"/>
          <w:lang w:eastAsia="ru-RU"/>
        </w:rPr>
        <w:t xml:space="preserve">«Курсом Правды и Единения»</w:t>
      </w:r>
      <w:r>
        <w:rPr>
          <w:rFonts w:ascii="Cambria" w:hAnsi="Cambria" w:cs="Times New Roman" w:eastAsia="Times New Roman"/>
          <w:bCs/>
          <w:sz w:val="24"/>
          <w:szCs w:val="24"/>
          <w:lang w:eastAsia="ru-RU"/>
        </w:rPr>
        <w:t xml:space="preserve">, политическая партия </w:t>
      </w:r>
      <w:r>
        <w:rPr>
          <w:rFonts w:ascii="Cambria" w:hAnsi="Cambria" w:cs="Times New Roman" w:eastAsia="Times New Roman"/>
          <w:b/>
          <w:bCs/>
          <w:sz w:val="24"/>
          <w:szCs w:val="24"/>
          <w:lang w:eastAsia="ru-RU"/>
        </w:rPr>
        <w:t xml:space="preserve">«Курсом Правды и Единения»</w:t>
      </w:r>
      <w:r>
        <w:rPr>
          <w:rFonts w:ascii="Cambria" w:hAnsi="Cambria" w:cs="Times New Roman" w:eastAsia="Times New Roman"/>
          <w:bCs/>
          <w:sz w:val="24"/>
          <w:szCs w:val="24"/>
          <w:lang w:eastAsia="ru-RU"/>
        </w:rPr>
        <w:t xml:space="preserve">) (решение Майкопского районного суда Республики Адыгея от 07 мая 2018 года и апелляционное определение Судебной коллегии по административным делам Верховного суда Республик Адыгея от 16 октября 2018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72. Религиозное объединение </w:t>
      </w:r>
      <w:r>
        <w:rPr>
          <w:rFonts w:ascii="Cambria" w:hAnsi="Cambria" w:cs="Times New Roman" w:eastAsia="Times New Roman"/>
          <w:b/>
          <w:bCs/>
          <w:sz w:val="24"/>
          <w:szCs w:val="24"/>
          <w:lang w:eastAsia="ru-RU"/>
        </w:rPr>
        <w:t xml:space="preserve">«Каракольская инициативная группа»</w:t>
      </w:r>
      <w:r>
        <w:rPr>
          <w:rFonts w:ascii="Cambria" w:hAnsi="Cambria" w:cs="Times New Roman" w:eastAsia="Times New Roman"/>
          <w:bCs/>
          <w:sz w:val="24"/>
          <w:szCs w:val="24"/>
          <w:lang w:eastAsia="ru-RU"/>
        </w:rPr>
        <w:t xml:space="preserve"> («Ак-Дян», «JАНЫ АЛТАЙ»-ДВИЖЕНИЕ, «Ак Jан», «Алтай Ак Jан», «Белая Вера», «Алтай Дян Ак Дян», «Алтайская вера белая вера») (решение Онгудайского районного суда Республики Алтай от 11 декабря 2018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73. Общественное объединение футбольных болельщиков </w:t>
      </w:r>
      <w:r>
        <w:rPr>
          <w:rFonts w:ascii="Cambria" w:hAnsi="Cambria" w:cs="Times New Roman" w:eastAsia="Times New Roman"/>
          <w:b/>
          <w:bCs/>
          <w:sz w:val="24"/>
          <w:szCs w:val="24"/>
          <w:lang w:eastAsia="ru-RU"/>
        </w:rPr>
        <w:t xml:space="preserve">«Автоград Крю»</w:t>
      </w:r>
      <w:r>
        <w:rPr>
          <w:rFonts w:ascii="Cambria" w:hAnsi="Cambria" w:cs="Times New Roman" w:eastAsia="Times New Roman"/>
          <w:bCs/>
          <w:sz w:val="24"/>
          <w:szCs w:val="24"/>
          <w:lang w:eastAsia="ru-RU"/>
        </w:rPr>
        <w:t xml:space="preserve"> (другие наименования: </w:t>
      </w:r>
      <w:r>
        <w:rPr>
          <w:rFonts w:ascii="Cambria" w:hAnsi="Cambria" w:cs="Times New Roman" w:eastAsia="Times New Roman"/>
          <w:b w:val="false"/>
          <w:bCs/>
          <w:sz w:val="24"/>
          <w:szCs w:val="24"/>
          <w:lang w:eastAsia="ru-RU"/>
        </w:rPr>
        <w:t xml:space="preserve">«Autograd Crew»</w:t>
      </w:r>
      <w:r>
        <w:rPr>
          <w:rFonts w:ascii="Cambria" w:hAnsi="Cambria" w:cs="Times New Roman" w:eastAsia="Times New Roman"/>
          <w:b w:val="false"/>
          <w:bCs/>
          <w:sz w:val="24"/>
          <w:szCs w:val="24"/>
          <w:lang w:eastAsia="ru-RU"/>
        </w:rPr>
        <w:t xml:space="preserve">, </w:t>
      </w:r>
      <w:r>
        <w:rPr>
          <w:rFonts w:ascii="Cambria" w:hAnsi="Cambria" w:cs="Times New Roman" w:eastAsia="Times New Roman"/>
          <w:b w:val="false"/>
          <w:bCs/>
          <w:sz w:val="24"/>
          <w:szCs w:val="24"/>
          <w:lang w:eastAsia="ru-RU"/>
        </w:rPr>
        <w:t xml:space="preserve">«Kamaz Ultras»</w:t>
      </w:r>
      <w:r>
        <w:rPr>
          <w:rFonts w:ascii="Cambria" w:hAnsi="Cambria" w:cs="Times New Roman" w:eastAsia="Times New Roman"/>
          <w:b w:val="false"/>
          <w:bCs/>
          <w:sz w:val="24"/>
          <w:szCs w:val="24"/>
          <w:lang w:eastAsia="ru-RU"/>
        </w:rPr>
        <w:t xml:space="preserve">, </w:t>
      </w:r>
      <w:r>
        <w:rPr>
          <w:rFonts w:ascii="Cambria" w:hAnsi="Cambria" w:cs="Times New Roman" w:eastAsia="Times New Roman"/>
          <w:b w:val="false"/>
          <w:bCs/>
          <w:sz w:val="24"/>
          <w:szCs w:val="24"/>
          <w:lang w:eastAsia="ru-RU"/>
        </w:rPr>
        <w:t xml:space="preserve">«Blue White Crew»</w:t>
      </w:r>
      <w:r>
        <w:rPr>
          <w:rFonts w:ascii="Cambria" w:hAnsi="Cambria" w:cs="Times New Roman" w:eastAsia="Times New Roman"/>
          <w:b w:val="false"/>
          <w:bCs/>
          <w:sz w:val="24"/>
          <w:szCs w:val="24"/>
          <w:lang w:eastAsia="ru-RU"/>
        </w:rPr>
        <w:t xml:space="preserve">) </w:t>
      </w:r>
      <w:r>
        <w:rPr>
          <w:rFonts w:ascii="Cambria" w:hAnsi="Cambria" w:cs="Times New Roman" w:eastAsia="Times New Roman"/>
          <w:bCs/>
          <w:sz w:val="24"/>
          <w:szCs w:val="24"/>
          <w:lang w:eastAsia="ru-RU"/>
        </w:rPr>
        <w:t xml:space="preserve">(решение Набережночелнинского городского суда Республики Татарстан от 06 февраля 2019 года, дата размещения сведений: 15 апреля 2019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74. Межрегиональное общественное объединение </w:t>
      </w:r>
      <w:r>
        <w:rPr>
          <w:rFonts w:ascii="Cambria" w:hAnsi="Cambria" w:cs="Times New Roman" w:eastAsia="Times New Roman"/>
          <w:b/>
          <w:bCs/>
          <w:sz w:val="24"/>
          <w:szCs w:val="24"/>
          <w:lang w:eastAsia="ru-RU"/>
        </w:rPr>
        <w:t xml:space="preserve">«Союз Славянских Сил Руси»</w:t>
      </w:r>
      <w:r>
        <w:rPr>
          <w:rFonts w:ascii="Cambria" w:hAnsi="Cambria" w:cs="Times New Roman" w:eastAsia="Times New Roman"/>
          <w:bCs/>
          <w:sz w:val="24"/>
          <w:szCs w:val="24"/>
          <w:lang w:eastAsia="ru-RU"/>
        </w:rPr>
        <w:t xml:space="preserve"> (другие наименования </w:t>
      </w:r>
      <w:r>
        <w:rPr>
          <w:rFonts w:ascii="Cambria" w:hAnsi="Cambria" w:cs="Times New Roman" w:eastAsia="Times New Roman"/>
          <w:b/>
          <w:bCs/>
          <w:sz w:val="24"/>
          <w:szCs w:val="24"/>
          <w:lang w:eastAsia="ru-RU"/>
        </w:rPr>
        <w:t xml:space="preserve">«Союз Советских Социалистических Республик»</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«СССР»</w:t>
      </w:r>
      <w:r>
        <w:rPr>
          <w:rFonts w:ascii="Cambria" w:hAnsi="Cambria" w:cs="Times New Roman" w:eastAsia="Times New Roman"/>
          <w:bCs/>
          <w:sz w:val="24"/>
          <w:szCs w:val="24"/>
          <w:lang w:eastAsia="ru-RU"/>
        </w:rPr>
        <w:t xml:space="preserve">) (решение Верховного Суда Республики Коми от 11 июля 2019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75. Религиозная группа </w:t>
      </w:r>
      <w:r>
        <w:rPr>
          <w:rFonts w:ascii="Cambria" w:hAnsi="Cambria" w:cs="Times New Roman" w:eastAsia="Times New Roman"/>
          <w:b/>
          <w:bCs/>
          <w:sz w:val="24"/>
          <w:szCs w:val="24"/>
          <w:lang w:eastAsia="ru-RU"/>
        </w:rPr>
        <w:t xml:space="preserve">«Алля-Аят»</w:t>
      </w:r>
      <w:r>
        <w:rPr>
          <w:rFonts w:ascii="Cambria" w:hAnsi="Cambria" w:cs="Times New Roman" w:eastAsia="Times New Roman"/>
          <w:bCs/>
          <w:sz w:val="24"/>
          <w:szCs w:val="24"/>
          <w:lang w:eastAsia="ru-RU"/>
        </w:rPr>
        <w:t xml:space="preserve"> (иные встречающиеся наименования в зависимости от перевода с казахского языка: </w:t>
      </w:r>
      <w:r>
        <w:rPr>
          <w:rFonts w:ascii="Cambria" w:hAnsi="Cambria" w:cs="Times New Roman" w:eastAsia="Times New Roman"/>
          <w:b/>
          <w:bCs/>
          <w:sz w:val="24"/>
          <w:szCs w:val="24"/>
          <w:lang w:eastAsia="ru-RU"/>
        </w:rPr>
        <w:t xml:space="preserve">«АлльАят»</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«АлляАят»</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«Элле Аят»</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«Алла Аят»</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«ЭллэАят»</w:t>
      </w:r>
      <w:r>
        <w:rPr>
          <w:rFonts w:ascii="Cambria" w:hAnsi="Cambria" w:cs="Times New Roman" w:eastAsia="Times New Roman"/>
          <w:bCs/>
          <w:sz w:val="24"/>
          <w:szCs w:val="24"/>
          <w:lang w:eastAsia="ru-RU"/>
        </w:rPr>
        <w:t xml:space="preserve">, </w:t>
      </w:r>
      <w:r>
        <w:rPr>
          <w:rFonts w:ascii="Cambria" w:hAnsi="Cambria" w:cs="Times New Roman" w:eastAsia="Times New Roman"/>
          <w:b/>
          <w:bCs/>
          <w:sz w:val="24"/>
          <w:szCs w:val="24"/>
          <w:lang w:eastAsia="ru-RU"/>
        </w:rPr>
        <w:t xml:space="preserve">«Аль Аят»</w:t>
      </w:r>
      <w:r>
        <w:rPr>
          <w:rFonts w:ascii="Cambria" w:hAnsi="Cambria" w:cs="Times New Roman" w:eastAsia="Times New Roman"/>
          <w:bCs/>
          <w:sz w:val="24"/>
          <w:szCs w:val="24"/>
          <w:lang w:eastAsia="ru-RU"/>
        </w:rPr>
        <w:t xml:space="preserve"> и другие) (решение Самарского областного суда от 28 мая 2019 года и апелляционное определение Судебной коллегии по административным делам Верховного Суда Российской Федерации от 06 декабря 2019 года, дата размещения сведений: 21 февраля 2020 года);</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76. Автономная некоммерческая организация </w:t>
      </w:r>
      <w:r>
        <w:rPr>
          <w:rFonts w:ascii="Cambria" w:hAnsi="Cambria" w:cs="Times New Roman" w:eastAsia="Times New Roman"/>
          <w:b/>
          <w:bCs/>
          <w:sz w:val="24"/>
          <w:szCs w:val="24"/>
          <w:lang w:eastAsia="ru-RU"/>
        </w:rPr>
        <w:t xml:space="preserve">«Благотворительный пансионат «Ак Умут» - «Светлая надежда»</w:t>
      </w:r>
      <w:r>
        <w:rPr>
          <w:rFonts w:ascii="Cambria" w:hAnsi="Cambria" w:cs="Times New Roman" w:eastAsia="Times New Roman"/>
          <w:bCs/>
          <w:sz w:val="24"/>
          <w:szCs w:val="24"/>
          <w:lang w:eastAsia="ru-RU"/>
        </w:rPr>
        <w:t xml:space="preserve"> (решение Кировского районного суда г. Казани Республики Татарст</w:t>
      </w:r>
      <w:r>
        <w:rPr>
          <w:rFonts w:ascii="Cambria" w:hAnsi="Cambria" w:cs="Times New Roman" w:eastAsia="Times New Roman"/>
          <w:bCs/>
          <w:sz w:val="24"/>
          <w:szCs w:val="24"/>
          <w:lang w:eastAsia="ru-RU"/>
        </w:rPr>
        <w:t xml:space="preserve">ан от 25 сентября 2014 года, определение Кировского районного суда г. Казани Республики Татарстан от 25 декабря 2014 года и апелляционное определение Судебной коллегии по административным делам Верховного Суда Республики Татарстан от 09 февраля 2015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77. Общественное объединение </w:t>
      </w:r>
      <w:r>
        <w:rPr>
          <w:rFonts w:ascii="Cambria" w:hAnsi="Cambria" w:cs="Times New Roman" w:eastAsia="Times New Roman"/>
          <w:b/>
          <w:bCs/>
          <w:sz w:val="24"/>
          <w:szCs w:val="24"/>
          <w:lang w:eastAsia="ru-RU"/>
        </w:rPr>
        <w:t xml:space="preserve">«Комитет «Нация и Свобода»</w:t>
      </w:r>
      <w:r>
        <w:rPr>
          <w:rFonts w:ascii="Cambria" w:hAnsi="Cambria" w:cs="Times New Roman" w:eastAsia="Times New Roman"/>
          <w:bCs/>
          <w:sz w:val="24"/>
          <w:szCs w:val="24"/>
          <w:lang w:eastAsia="ru-RU"/>
        </w:rPr>
        <w:t xml:space="preserve">, (решение Красноярского краевого суда от 29 июля 2020года);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bCs/>
        </w:rPr>
        <w:t xml:space="preserve">78. Криминальное движение </w:t>
      </w:r>
      <w:r>
        <w:rPr>
          <w:rFonts w:ascii="Cambria" w:hAnsi="Cambria"/>
          <w:b/>
          <w:bCs/>
        </w:rPr>
        <w:t xml:space="preserve">«АУЕ»</w:t>
      </w:r>
      <w:r>
        <w:rPr>
          <w:rFonts w:ascii="Cambria" w:hAnsi="Cambria"/>
          <w:bCs/>
        </w:rPr>
        <w:t xml:space="preserve"> («Арестантский уклад един» или «Арестантское уголовное единство») (решение Верховного Суда Российской Федерации от 17 августа 2020 года). </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79. Общественное объединение </w:t>
      </w:r>
      <w:r>
        <w:rPr>
          <w:rFonts w:ascii="Cambria" w:hAnsi="Cambria"/>
          <w:b/>
          <w:color w:val="000000"/>
        </w:rPr>
        <w:t xml:space="preserve">«Башкорт»</w:t>
      </w:r>
      <w:r>
        <w:rPr>
          <w:rFonts w:ascii="Cambria" w:hAnsi="Cambria"/>
          <w:color w:val="000000"/>
        </w:rPr>
        <w:t xml:space="preserve"> признано экстремистской организацией решением Верховного суда Республики Башкортостан от 16.09.2020.</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80. Региональная общественная организация </w:t>
      </w:r>
      <w:r>
        <w:rPr>
          <w:rFonts w:ascii="Cambria" w:hAnsi="Cambria"/>
          <w:b/>
          <w:color w:val="000000"/>
        </w:rPr>
        <w:t xml:space="preserve">«Русский патриотический клуб-Новокузнецк» («РПК»)</w:t>
      </w:r>
      <w:r>
        <w:rPr>
          <w:rFonts w:ascii="Cambria" w:hAnsi="Cambria"/>
          <w:color w:val="000000"/>
        </w:rPr>
        <w:t xml:space="preserve"> 08 декабря 2020 года Центральным районным судом г. Новокузнецка было признано экстремистским в г. Новокузнецке.</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81. Общественное объединение </w:t>
      </w:r>
      <w:r>
        <w:rPr>
          <w:rFonts w:ascii="Cambria" w:hAnsi="Cambria"/>
          <w:b w:val="false"/>
          <w:color w:val="000000"/>
        </w:rPr>
        <w:t xml:space="preserve">«W.H.С.»</w:t>
      </w:r>
      <w:r>
        <w:rPr>
          <w:rFonts w:ascii="Cambria" w:hAnsi="Cambria"/>
          <w:color w:val="000000"/>
        </w:rPr>
        <w:t xml:space="preserve"> (иные наименования – «White Hooligans Capital», «Белые хулиганы сто</w:t>
      </w:r>
      <w:r>
        <w:rPr>
          <w:rFonts w:ascii="Cambria" w:hAnsi="Cambria"/>
          <w:color w:val="000000"/>
        </w:rPr>
        <w:t xml:space="preserve">ли</w:t>
      </w:r>
      <w:r>
        <w:rPr>
          <w:rFonts w:ascii="Cambria" w:hAnsi="Cambria"/>
          <w:color w:val="000000"/>
        </w:rPr>
        <w:t xml:space="preserve">цы», «White Hardcor Cats», «SIBERIAN FRONT», «Сибирский фронт») было признано экстремистским по решению Центрального районного суда г. Барнаула от 16.09.2020 и апелляционного определения судебной  коллегии  по  административным делам Алтайского краевого су</w:t>
      </w:r>
      <w:r>
        <w:rPr>
          <w:rFonts w:ascii="Cambria" w:hAnsi="Cambria"/>
          <w:color w:val="000000"/>
        </w:rPr>
        <w:t xml:space="preserve">да от 23.12.2020, определения судебной коллегии по административным делам Алтайского краевого суда от 25.12.2020 и кассационного определения судебной коллегии по административным делам Восьмого кассационного суда общей юрисдикции г. Кемерово от 04.08.2021.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82. Хакасская региональная общественная организация духовного и физического самосовершенствования человека по Великому закону Фалунь </w:t>
      </w:r>
      <w:r>
        <w:rPr>
          <w:rFonts w:ascii="Cambria" w:hAnsi="Cambria"/>
          <w:b/>
          <w:color w:val="000000"/>
        </w:rPr>
        <w:t xml:space="preserve">«Фалунь Дафа»</w:t>
      </w:r>
      <w:r>
        <w:rPr>
          <w:rFonts w:ascii="Cambria" w:hAnsi="Cambria"/>
          <w:color w:val="000000"/>
        </w:rPr>
        <w:t xml:space="preserve"> была признана экстремистской на основании апелляционного определения судебной коллегии по административным делам Пятого апелляционного суда общей юрисдикции от 10.11.2020.</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83. Неформальное молодежное объединение футбольных фанатов </w:t>
      </w:r>
      <w:r>
        <w:rPr>
          <w:rFonts w:ascii="Cambria" w:hAnsi="Cambria"/>
          <w:b/>
          <w:color w:val="000000"/>
        </w:rPr>
        <w:t xml:space="preserve">«Иртыш Ultras»</w:t>
      </w:r>
      <w:r>
        <w:rPr>
          <w:rFonts w:ascii="Cambria" w:hAnsi="Cambria"/>
          <w:color w:val="000000"/>
        </w:rPr>
        <w:t xml:space="preserve"> («Irtyshultras», BrutalJokers», FlussGeboren») признано экстремистской организацией по решению Центрального районного суда города Омска от 27.11.2020.</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84. Региональное общественное объединение «Русский Патриотический клуб-Новокузн</w:t>
      </w:r>
      <w:r>
        <w:rPr>
          <w:rFonts w:ascii="Cambria" w:hAnsi="Cambria"/>
          <w:color w:val="000000"/>
        </w:rPr>
        <w:t xml:space="preserve">ецк/РПК» было признано экстремистской организацией по решению Центрального районного суда г. Новокузнецка Кемеровской области от 07.12.2020 и апелляционного определения судебной коллегии по административным делам Кемеровского областного суда от 04.03.2021.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85. Межрегиональное общественное </w:t>
      </w:r>
      <w:r>
        <w:rPr>
          <w:rFonts w:ascii="Cambria" w:hAnsi="Cambria"/>
          <w:b/>
          <w:color w:val="000000"/>
        </w:rPr>
        <w:t xml:space="preserve">движение «Сибирский державный союз»</w:t>
      </w:r>
      <w:r>
        <w:rPr>
          <w:rFonts w:ascii="Cambria" w:hAnsi="Cambria"/>
          <w:color w:val="000000"/>
        </w:rPr>
        <w:t xml:space="preserve"> (иные наименования – «Собор Руси Родов Славных», «Славянское воинское братство», «Сибирско-Украинское движение», «Духовно-Политическое Движение «Освобождение») (решение Верховного Суда Республики Алтай от 19.03.2021);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86. Некоммерческая организация </w:t>
      </w:r>
      <w:r>
        <w:rPr>
          <w:rFonts w:ascii="Cambria" w:hAnsi="Cambria"/>
          <w:b/>
          <w:color w:val="000000"/>
        </w:rPr>
        <w:t xml:space="preserve">«Фонд борьбы с коррупцией»ФБК </w:t>
      </w:r>
      <w:r>
        <w:rPr>
          <w:rFonts w:ascii="Cambria" w:hAnsi="Cambria"/>
          <w:color w:val="000000"/>
        </w:rPr>
        <w:t xml:space="preserve">(решение Московского городского суда от 09.06.2021) (дата размещения сведений: 06.08.2021);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87. Некоммерческая организация «Фонд защиты прав граждан» (решение Московского городского суда от 09.06.2021);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88. Общественное движение </w:t>
      </w:r>
      <w:r>
        <w:rPr>
          <w:rFonts w:ascii="Cambria" w:hAnsi="Cambria"/>
          <w:b/>
          <w:color w:val="000000"/>
        </w:rPr>
        <w:t xml:space="preserve">«Штабы Навального»</w:t>
      </w:r>
      <w:r>
        <w:rPr>
          <w:rFonts w:ascii="Cambria" w:hAnsi="Cambria"/>
          <w:color w:val="000000"/>
        </w:rPr>
        <w:t xml:space="preserve"> (решение Московского городского суда от 09.06.2021);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89. Общественное объединение </w:t>
      </w:r>
      <w:r>
        <w:rPr>
          <w:rFonts w:ascii="Cambria" w:hAnsi="Cambria"/>
          <w:b/>
          <w:color w:val="000000"/>
        </w:rPr>
        <w:t xml:space="preserve">«Совет граждан СССР Прикубанского округа г. Краснодара»</w:t>
      </w:r>
      <w:r>
        <w:rPr>
          <w:rFonts w:ascii="Cambria" w:hAnsi="Cambria"/>
          <w:color w:val="000000"/>
        </w:rPr>
        <w:t xml:space="preserve"> (решение Прикубанского районного суда г. Краснодара от 29.06.2021);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90. Межрегиональное объединение </w:t>
      </w:r>
      <w:r>
        <w:rPr>
          <w:rFonts w:ascii="Cambria" w:hAnsi="Cambria"/>
          <w:b/>
          <w:color w:val="000000"/>
        </w:rPr>
        <w:t xml:space="preserve">«Мужское государство»</w:t>
      </w:r>
      <w:r>
        <w:rPr>
          <w:rFonts w:ascii="Cambria" w:hAnsi="Cambria"/>
          <w:color w:val="000000"/>
        </w:rPr>
        <w:t xml:space="preserve"> (решение Нижегородского областного суда от 18.10.2021);</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91. Неформальное молодежное объединение </w:t>
      </w:r>
      <w:r>
        <w:rPr>
          <w:rFonts w:ascii="Cambria" w:hAnsi="Cambria"/>
          <w:b/>
          <w:color w:val="000000"/>
        </w:rPr>
        <w:t xml:space="preserve">«Н.О.Р.Д. /Народное объединение русского движения»</w:t>
      </w:r>
      <w:r>
        <w:rPr>
          <w:rFonts w:ascii="Cambria" w:hAnsi="Cambria"/>
          <w:color w:val="000000"/>
        </w:rPr>
        <w:t xml:space="preserve"> (решение Первомайского районного суда г. Омска от 19.04.2022 и апелляционное определение судебной коллегии по административным делам Омского областного суда от 27.07.2022);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92. Общественное объединение </w:t>
      </w:r>
      <w:r>
        <w:rPr>
          <w:rFonts w:ascii="Cambria" w:hAnsi="Cambria"/>
          <w:b/>
          <w:color w:val="000000"/>
        </w:rPr>
        <w:t xml:space="preserve">«Народное движение Адат»</w:t>
      </w:r>
      <w:r>
        <w:rPr>
          <w:rFonts w:ascii="Cambria" w:hAnsi="Cambria"/>
          <w:color w:val="000000"/>
        </w:rPr>
        <w:t xml:space="preserve"> (решение Верховного Суда Чеченской Республики от 12.05.2022);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93. Общественное объединение </w:t>
      </w:r>
      <w:r>
        <w:rPr>
          <w:rFonts w:ascii="Cambria" w:hAnsi="Cambria"/>
          <w:b/>
          <w:color w:val="000000"/>
        </w:rPr>
        <w:t xml:space="preserve">«Народный совет граждан РСФСР СССР Архангельской области»</w:t>
      </w:r>
      <w:r>
        <w:rPr>
          <w:rFonts w:ascii="Cambria" w:hAnsi="Cambria"/>
          <w:color w:val="000000"/>
        </w:rPr>
        <w:t xml:space="preserve"> (решение Архангельского областного суда от 24.05.2022) (дата размещения сведений: 09.08.2022); </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94. «Националистическое движение </w:t>
      </w:r>
      <w:r>
        <w:rPr>
          <w:rFonts w:ascii="Cambria" w:hAnsi="Cambria"/>
          <w:b/>
          <w:color w:val="000000"/>
        </w:rPr>
        <w:t xml:space="preserve">«Проект Штурм»</w:t>
      </w:r>
      <w:r>
        <w:rPr>
          <w:rFonts w:ascii="Cambria" w:hAnsi="Cambria"/>
          <w:color w:val="000000"/>
        </w:rPr>
        <w:t xml:space="preserve"> (решение Ленинского районного суда г. Перми от 14.06.2022) (дата размещения сведений: 19.08.2022);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95. Межрегиональная общественная организация </w:t>
      </w:r>
      <w:r>
        <w:rPr>
          <w:rFonts w:ascii="Cambria" w:hAnsi="Cambria"/>
          <w:b/>
          <w:color w:val="000000"/>
        </w:rPr>
        <w:t xml:space="preserve">«Граждане СССР»</w:t>
      </w:r>
      <w:r>
        <w:rPr>
          <w:rFonts w:ascii="Cambria" w:hAnsi="Cambria"/>
          <w:color w:val="000000"/>
        </w:rPr>
        <w:t xml:space="preserve"> (другие наименования «Держава Союз</w:t>
      </w:r>
      <w:r>
        <w:rPr>
          <w:rFonts w:ascii="Cambria" w:hAnsi="Cambria"/>
          <w:color w:val="000000"/>
        </w:rPr>
        <w:t xml:space="preserve"> Советских Светлых Родов»,«Совет Советских Социалистических Районов», «Совет Союза Советских Социалистических Районов», «Верховный Совет Союза Советских Социалистических Районов», «Верховный Совет Воинов Державы Союза Советских Светлых Родов», «Сверхдержав</w:t>
      </w:r>
      <w:r>
        <w:rPr>
          <w:rFonts w:ascii="Cambria" w:hAnsi="Cambria"/>
          <w:color w:val="000000"/>
        </w:rPr>
        <w:t xml:space="preserve">а Союз Советских Светлых Родов», «Верховный Совет Воинов Сверхдержава Союз Советских Светлых Родов», «ВСВ держава СССР», «Союз Советских Социалистических Республик») (решение Самарского областного суда от 16.06.2022) (дата размещения сведений: 19.08.2022);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96. Американская транснациональная холдинговая компания </w:t>
      </w:r>
      <w:r>
        <w:rPr>
          <w:rFonts w:ascii="Cambria" w:hAnsi="Cambria"/>
          <w:b w:val="false"/>
          <w:color w:val="000000"/>
        </w:rPr>
        <w:t xml:space="preserve">«Meta Platforms Inc.»</w:t>
      </w:r>
      <w:r>
        <w:rPr>
          <w:rFonts w:ascii="Cambria" w:hAnsi="Cambria"/>
          <w:color w:val="000000"/>
        </w:rPr>
        <w:t xml:space="preserve"> по реализации продуктов ‒ социальных сетей Facebook и Instagram (решение Тверского районного суда города Москвы от 21.03.2022 и апелляционное определение судебной коллегии по гражданским делам Московского городского суда от 20.06.2022).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Решение Тверского районного суда города Москвы от 2</w:t>
      </w:r>
      <w:r>
        <w:rPr>
          <w:rFonts w:ascii="Cambria" w:hAnsi="Cambria"/>
          <w:color w:val="000000"/>
        </w:rPr>
        <w:t xml:space="preserve">1</w:t>
      </w:r>
      <w:r>
        <w:rPr>
          <w:rFonts w:ascii="Cambria" w:hAnsi="Cambria"/>
          <w:color w:val="000000"/>
        </w:rPr>
        <w:t xml:space="preserve">.03.2022 и апелляционное определение судебной коллегии по гражданским делам Московского городского суда от 20.06.2022 не распространяются на деятельность мессенджера Whats App компании Meta ввиду отсутствия функций по публичному распространению информации;</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97. Общественная организация </w:t>
      </w:r>
      <w:r>
        <w:rPr>
          <w:rFonts w:ascii="Cambria" w:hAnsi="Cambria"/>
          <w:b/>
          <w:color w:val="000000"/>
        </w:rPr>
        <w:t xml:space="preserve">«СИЧ-С14»</w:t>
      </w:r>
      <w:r>
        <w:rPr>
          <w:rFonts w:ascii="Cambria" w:hAnsi="Cambria"/>
          <w:color w:val="000000"/>
        </w:rPr>
        <w:t xml:space="preserve"> (Громадська органiзацiя «СIЧ-C14» (другие используемые наименования: «Слава и Честь», ГО «С14», «Основа Майбутнього») (Украина) (решение Верховного Суда Российской Федерации от 08.09.2022) (дата размещения сведений: 07.11.2022);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98. Националистическое объединение </w:t>
      </w:r>
      <w:r>
        <w:rPr>
          <w:rFonts w:ascii="Cambria" w:hAnsi="Cambria"/>
          <w:b/>
          <w:color w:val="000000"/>
        </w:rPr>
        <w:t xml:space="preserve">«Добровольческое Движение Организации украинских националистов»</w:t>
      </w:r>
      <w:r>
        <w:rPr>
          <w:rFonts w:ascii="Cambria" w:hAnsi="Cambria"/>
          <w:color w:val="000000"/>
        </w:rPr>
        <w:t xml:space="preserve"> («Добровольчий Рух Организацii украiнських националiстiв») (Украина) (решение Верховного Суда Российской Федерации от 08.09.2022);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99. Националистическая группировка </w:t>
      </w:r>
      <w:r>
        <w:rPr>
          <w:rFonts w:ascii="Cambria" w:hAnsi="Cambria"/>
          <w:b/>
          <w:color w:val="000000"/>
        </w:rPr>
        <w:t xml:space="preserve">«Черный Комитет»</w:t>
      </w:r>
      <w:r>
        <w:rPr>
          <w:rFonts w:ascii="Cambria" w:hAnsi="Cambria"/>
          <w:color w:val="000000"/>
        </w:rPr>
        <w:t xml:space="preserve"> («Чорний Комiтет») (Украина) (решение Верховного Суда Российской Федерации от 08.09.2022);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100. Татарстанское Региональное Всетатарское общественное движение – </w:t>
      </w:r>
      <w:r>
        <w:rPr>
          <w:rFonts w:ascii="Cambria" w:hAnsi="Cambria"/>
          <w:b/>
          <w:color w:val="000000"/>
        </w:rPr>
        <w:t xml:space="preserve">Всетатарский Общественный Центр </w:t>
      </w:r>
      <w:r>
        <w:rPr>
          <w:rFonts w:ascii="Cambria" w:hAnsi="Cambria"/>
          <w:color w:val="000000"/>
        </w:rPr>
        <w:t xml:space="preserve">(ОГРН 1021600014831, ИНН 1653007282) (решение Верховного Суда Республики Татарстан от 10.06.2022).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101. Незарегистрированное общественное объединение </w:t>
      </w:r>
      <w:r>
        <w:rPr>
          <w:rFonts w:ascii="Cambria" w:hAnsi="Cambria"/>
          <w:b/>
          <w:color w:val="000000"/>
        </w:rPr>
        <w:t xml:space="preserve">«Невоград»</w:t>
      </w:r>
      <w:r>
        <w:rPr>
          <w:rFonts w:ascii="Cambria" w:hAnsi="Cambria"/>
          <w:color w:val="000000"/>
        </w:rPr>
        <w:t xml:space="preserve"> (другие названия: «Неваград», «Невоград-2», «БТО-Невоград», «ФерстЛайнНевоград» (такж</w:t>
      </w:r>
      <w:r>
        <w:rPr>
          <w:rFonts w:ascii="Cambria" w:hAnsi="Cambria"/>
          <w:color w:val="000000"/>
        </w:rPr>
        <w:t xml:space="preserve">е «Невоградfirstline», «НевоградФёстЛайн», «FirstLineNevograd») (решение Санкт-Петербургского городского суда от 25.10.2021 и апелляционное определение судебной коллегии по административным делам Второго апелляционного суда общей юрисдикции от 06.09.2022).</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102. Межрегиональное общественное движение </w:t>
      </w:r>
      <w:r>
        <w:rPr>
          <w:rFonts w:ascii="Cambria" w:hAnsi="Cambria"/>
          <w:b/>
          <w:color w:val="000000"/>
        </w:rPr>
        <w:t xml:space="preserve">«Молодежное Демократическое Движение «Весна»</w:t>
      </w:r>
      <w:r>
        <w:rPr>
          <w:rFonts w:ascii="Cambria" w:hAnsi="Cambria"/>
          <w:color w:val="000000"/>
        </w:rPr>
        <w:t xml:space="preserve"> (другое используемое наименование – общественно-политическая организация «Молодежное Демократическое Движение </w:t>
      </w:r>
      <w:r>
        <w:rPr>
          <w:rFonts w:ascii="Cambria" w:hAnsi="Cambria"/>
          <w:color w:val="000000"/>
        </w:rPr>
        <w:t xml:space="preserve">«Весна») (решение Санкт-Петербургского городского суда от 06.12.2022 и апелляционное определение судебной коллегии по административным делам Второго апелляционного суда общей юрисдикции от 17.05.2023) (дата размещения сведений: 29.06.2023). </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103. Общественное объединение </w:t>
      </w:r>
      <w:r>
        <w:rPr>
          <w:rFonts w:ascii="Cambria" w:hAnsi="Cambria"/>
          <w:b/>
          <w:color w:val="000000"/>
        </w:rPr>
        <w:t xml:space="preserve">«Верховный Совет Татарской Автономной Советской Социалистической Республики»</w:t>
      </w:r>
      <w:r>
        <w:rPr>
          <w:rFonts w:ascii="Cambria" w:hAnsi="Cambria"/>
          <w:color w:val="000000"/>
        </w:rPr>
        <w:t xml:space="preserve"> (иные наименования общественного объединения – «Верховный Совет ТАССР», Верховный Совет Татарс</w:t>
      </w:r>
      <w:r>
        <w:rPr>
          <w:rFonts w:ascii="Cambria" w:hAnsi="Cambria"/>
          <w:color w:val="000000"/>
        </w:rPr>
        <w:t xml:space="preserve">кой АССР/РСФСР/СССР») (решение Верховного Суда Республики Татарстан от 01.02.2023 и апелляционное определение судебной коллегии по административным делам Четвертого апелляционного суда общей юрисдикции от 03.05.2023) (дата размещения сведений: 17.07.2023).</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t xml:space="preserve">104. Общественное объединение </w:t>
      </w:r>
      <w:r>
        <w:rPr>
          <w:rFonts w:ascii="Cambria" w:hAnsi="Cambria"/>
          <w:b/>
          <w:color w:val="000000"/>
        </w:rPr>
        <w:t xml:space="preserve">«Конгресс ойрат-калмыцкого народа»</w:t>
      </w:r>
      <w:r>
        <w:rPr>
          <w:rFonts w:ascii="Cambria" w:hAnsi="Cambria"/>
          <w:color w:val="000000"/>
        </w:rPr>
        <w:t xml:space="preserve"> (решение Верховного Суда Республики Калмыкия от 23.08.2023) (дата размещения сведений: 23.10.2023).</w:t>
      </w:r>
      <w:r>
        <w:rPr>
          <w:rFonts w:ascii="Cambria" w:hAnsi="Cambria"/>
          <w:color w:val="000000"/>
        </w:rPr>
      </w:r>
      <w:r/>
    </w:p>
    <w:p>
      <w:pPr>
        <w:pStyle w:val="575"/>
        <w:ind w:firstLine="709"/>
        <w:jc w:val="left"/>
        <w:spacing w:after="0" w:afterAutospacing="0" w:before="0" w:beforeAutospacing="0"/>
        <w:shd w:val="clear" w:color="auto" w:fill="FFFFFF"/>
        <w:rPr>
          <w:rFonts w:ascii="Cambria" w:hAnsi="Cambria"/>
          <w:b/>
          <w:color w:val="000000"/>
        </w:rPr>
      </w:pPr>
      <w:r>
        <w:rPr>
          <w:rFonts w:ascii="Cambria" w:hAnsi="Cambria"/>
          <w:b/>
          <w:color w:val="000000"/>
        </w:rPr>
      </w:r>
      <w:r/>
    </w:p>
    <w:p>
      <w:pPr>
        <w:ind w:firstLine="709"/>
        <w:jc w:val="center"/>
        <w:spacing w:lineRule="auto" w:line="240" w:after="0"/>
        <w:rPr>
          <w:rFonts w:ascii="Cambria" w:hAnsi="Cambria"/>
          <w:b/>
          <w:color w:val="000000"/>
        </w:rPr>
      </w:pPr>
      <w:r>
        <w:rPr>
          <w:rFonts w:ascii="Cambria" w:hAnsi="Cambria"/>
          <w:b/>
          <w:color w:val="000000"/>
        </w:rPr>
        <w:br w:type="page"/>
      </w:r>
      <w:r>
        <w:rPr>
          <w:rFonts w:ascii="Cambria" w:hAnsi="Cambria"/>
          <w:b/>
          <w:color w:val="000000"/>
        </w:rPr>
        <w:t xml:space="preserve">ПЕРЕЧЕНЬ ЗАПРЕЩЕННЫХ НА ТЕРРИТОРИИ РОССИЙСКОЙ ФЕДЕРАЦИИ</w:t>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b/>
          <w:color w:val="000000"/>
        </w:rPr>
        <w:t xml:space="preserve">ТЕРРОРИСТИЧЕСКИХ ОРГАНИЗАЦИЙ</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 </w:t>
      </w:r>
      <w:r>
        <w:rPr>
          <w:rFonts w:ascii="Cambria" w:hAnsi="Cambria"/>
          <w:b/>
          <w:bCs/>
        </w:rPr>
        <w:t xml:space="preserve">«Высший военный Маджлисуль Шура (Верховный Совет) Объединенных сил моджахедов Кавказа»</w:t>
      </w:r>
      <w:r>
        <w:rPr>
          <w:rFonts w:ascii="Cambria" w:hAnsi="Cambria"/>
          <w:bCs/>
        </w:rPr>
        <w:t xml:space="preserve"> – военно-политическая террористическая организация, сформированная в начале 2001 года на базе террористической группы «Конгресс народов Ичкерии и Дагестана»;</w:t>
      </w:r>
      <w:r/>
    </w:p>
    <w:p>
      <w:pPr>
        <w:pStyle w:val="575"/>
        <w:ind w:firstLine="709"/>
        <w:jc w:val="both"/>
        <w:spacing w:after="0" w:afterAutospacing="0" w:before="0" w:beforeAutospacing="0"/>
        <w:shd w:val="clear" w:color="auto" w:fill="FFFFFF"/>
        <w:rPr>
          <w:rFonts w:ascii="Cambria" w:hAnsi="Cambria"/>
          <w:color w:val="000000"/>
        </w:rPr>
      </w:pPr>
      <w:r>
        <w:rPr>
          <w:rFonts w:ascii="Cambria" w:hAnsi="Cambria"/>
          <w:b/>
        </w:rPr>
        <w:t xml:space="preserve">2. «Конгресс народов Ичкерии и Дагестана»</w:t>
      </w:r>
      <w:r>
        <w:rPr>
          <w:rFonts w:ascii="Cambria" w:hAnsi="Cambria"/>
        </w:rPr>
        <w:t xml:space="preserve">(КНИД) – террористическая организация, созданная в 1998 году Шамилем Басаевым и Мовлади Удуговым при поддержке арабских наёмников в Чечне;</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3. </w:t>
      </w:r>
      <w:r>
        <w:rPr>
          <w:rFonts w:ascii="Cambria" w:hAnsi="Cambria"/>
          <w:b/>
        </w:rPr>
        <w:t xml:space="preserve">«Аль-Каида»</w:t>
      </w:r>
      <w:r>
        <w:rPr>
          <w:rFonts w:ascii="Cambria" w:hAnsi="Cambria"/>
        </w:rPr>
        <w:t xml:space="preserve"> (араб. </w:t>
      </w:r>
      <w:r>
        <w:t xml:space="preserve">القاعدة</w:t>
      </w:r>
      <w:r>
        <w:rPr>
          <w:rFonts w:ascii="Cambria" w:hAnsi="Cambria" w:cs="Cambria"/>
        </w:rPr>
        <w:t xml:space="preserve">‎</w:t>
      </w:r>
      <w:r>
        <w:rPr>
          <w:rFonts w:ascii="Cambria" w:hAnsi="Cambria"/>
        </w:rPr>
        <w:t xml:space="preserve">, </w:t>
      </w:r>
      <w:r>
        <w:rPr>
          <w:rFonts w:ascii="Cambria" w:hAnsi="Cambria" w:cs="Cambria"/>
        </w:rPr>
        <w:t xml:space="preserve">«база»</w:t>
      </w:r>
      <w:r>
        <w:rPr>
          <w:rFonts w:ascii="Cambria" w:hAnsi="Cambria"/>
        </w:rPr>
        <w:t xml:space="preserve">, </w:t>
      </w:r>
      <w:r>
        <w:rPr>
          <w:rFonts w:ascii="Cambria" w:hAnsi="Cambria" w:cs="Cambria"/>
        </w:rPr>
        <w:t xml:space="preserve">«</w:t>
      </w:r>
      <w:r>
        <w:rPr>
          <w:rFonts w:ascii="Cambria" w:hAnsi="Cambria"/>
        </w:rPr>
        <w:t xml:space="preserve">фундамент», «принцип») – одна из самых крупных ультрарадикальных международных террористических организаций ваххабитского направления ислама;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4. </w:t>
      </w:r>
      <w:r>
        <w:rPr>
          <w:rFonts w:ascii="Cambria" w:hAnsi="Cambria"/>
          <w:b/>
        </w:rPr>
        <w:t xml:space="preserve">«Асбат аль-Ансар»</w:t>
      </w:r>
      <w:r>
        <w:rPr>
          <w:rFonts w:ascii="Cambria" w:hAnsi="Cambria"/>
        </w:rPr>
        <w:t xml:space="preserve">- «Лига партизан» – фундаменталистская террористическая организация суннитского толка;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5. </w:t>
      </w:r>
      <w:r>
        <w:rPr>
          <w:rFonts w:ascii="Cambria" w:hAnsi="Cambria"/>
          <w:b/>
        </w:rPr>
        <w:t xml:space="preserve">«Священная война»</w:t>
      </w:r>
      <w:r>
        <w:rPr>
          <w:rFonts w:ascii="Cambria" w:hAnsi="Cambria"/>
        </w:rPr>
        <w:t xml:space="preserve"> («Аль-Джихад» – «Египетский исламский джихад») (араб. </w:t>
      </w:r>
      <w:r>
        <w:t xml:space="preserve">الجهادالإسلاميالمصري</w:t>
      </w:r>
      <w:r>
        <w:rPr>
          <w:rFonts w:ascii="Cambria" w:hAnsi="Cambria" w:cs="Cambria"/>
        </w:rPr>
        <w:t xml:space="preserve">‎</w:t>
      </w:r>
      <w:r>
        <w:rPr>
          <w:rFonts w:ascii="Cambria" w:hAnsi="Cambria"/>
        </w:rPr>
        <w:t xml:space="preserve">) </w:t>
      </w:r>
      <w:r>
        <w:rPr>
          <w:rFonts w:ascii="Cambria" w:hAnsi="Cambria" w:cs="Cambria"/>
        </w:rPr>
        <w:t xml:space="preserve">– террористическая группировка</w:t>
      </w:r>
      <w:r>
        <w:rPr>
          <w:rFonts w:ascii="Cambria" w:hAnsi="Cambria"/>
        </w:rPr>
        <w:t xml:space="preserve">, </w:t>
      </w:r>
      <w:r>
        <w:rPr>
          <w:rFonts w:ascii="Cambria" w:hAnsi="Cambria" w:cs="Cambria"/>
        </w:rPr>
        <w:t xml:space="preserve">ставящая своей целью свержение в Египте светского режима и создание на его территории исламского государства</w:t>
      </w:r>
      <w:r>
        <w:rPr>
          <w:rFonts w:ascii="Cambria" w:hAnsi="Cambria"/>
        </w:rPr>
        <w:t xml:space="preserve">, </w:t>
      </w:r>
      <w:r>
        <w:rPr>
          <w:rFonts w:ascii="Cambria" w:hAnsi="Cambria" w:cs="Cambria"/>
        </w:rPr>
        <w:t xml:space="preserve">а также борьба проти</w:t>
      </w:r>
      <w:r>
        <w:rPr>
          <w:rFonts w:ascii="Cambria" w:hAnsi="Cambria"/>
        </w:rPr>
        <w:t xml:space="preserve">в интересов США и Израиля в Египте и соседних странах;</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6. </w:t>
      </w:r>
      <w:r>
        <w:rPr>
          <w:rFonts w:ascii="Cambria" w:hAnsi="Cambria"/>
          <w:b/>
        </w:rPr>
        <w:t xml:space="preserve">«Аль-Гамаа аль-исламийя»</w:t>
      </w:r>
      <w:r>
        <w:rPr>
          <w:rFonts w:ascii="Cambria" w:hAnsi="Cambria"/>
        </w:rPr>
        <w:t xml:space="preserve"> (араб. </w:t>
      </w:r>
      <w:r>
        <w:t xml:space="preserve">الجماعةالإسلامية</w:t>
      </w:r>
      <w:r>
        <w:rPr>
          <w:rFonts w:ascii="Cambria" w:hAnsi="Cambria" w:cs="Cambria"/>
        </w:rPr>
        <w:t xml:space="preserve">‎—«Исламский джамаат»‎</w:t>
      </w:r>
      <w:r>
        <w:rPr>
          <w:rFonts w:ascii="Cambria" w:hAnsi="Cambria"/>
        </w:rPr>
        <w:t xml:space="preserve">) – египетская радикальная организация, созданная в 1975 г. в результате объединения автономных университетских религиозных ассоциаций (джамаатов);</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7. </w:t>
      </w:r>
      <w:r>
        <w:rPr>
          <w:rFonts w:ascii="Cambria" w:hAnsi="Cambria"/>
          <w:b/>
        </w:rPr>
        <w:t xml:space="preserve">«Братья-мусульмане»</w:t>
      </w:r>
      <w:r>
        <w:rPr>
          <w:rFonts w:ascii="Cambria" w:hAnsi="Cambria"/>
        </w:rPr>
        <w:t xml:space="preserve"> («Аль-Ихван аль-Муслимун») – (араб. </w:t>
      </w:r>
      <w:r>
        <w:t xml:space="preserve">الإخوانالمسلمون</w:t>
      </w:r>
      <w:r>
        <w:rPr>
          <w:rFonts w:ascii="Cambria" w:hAnsi="Cambria" w:cs="Cambria"/>
        </w:rPr>
        <w:t xml:space="preserve">‎‎</w:t>
      </w:r>
      <w:r>
        <w:rPr>
          <w:rFonts w:ascii="Cambria" w:hAnsi="Cambria"/>
        </w:rPr>
        <w:t xml:space="preserve">, </w:t>
      </w:r>
      <w:r>
        <w:rPr>
          <w:rFonts w:ascii="Cambria" w:hAnsi="Cambria" w:cs="Cambria"/>
        </w:rPr>
        <w:t xml:space="preserve">масри</w:t>
      </w:r>
      <w:r>
        <w:t xml:space="preserve">ا لاخوانالمسلمين</w:t>
      </w:r>
      <w:r>
        <w:rPr>
          <w:rFonts w:ascii="Cambria" w:hAnsi="Cambria"/>
        </w:rPr>
        <w:t xml:space="preserve">) </w:t>
      </w:r>
      <w:r>
        <w:rPr>
          <w:rFonts w:ascii="Cambria" w:hAnsi="Cambria" w:cs="Cambria"/>
        </w:rPr>
        <w:t xml:space="preserve">—международная религиозно</w:t>
      </w:r>
      <w:r>
        <w:rPr>
          <w:rFonts w:ascii="Cambria" w:hAnsi="Cambria"/>
        </w:rPr>
        <w:t xml:space="preserve">-</w:t>
      </w:r>
      <w:r>
        <w:rPr>
          <w:rFonts w:ascii="Cambria" w:hAnsi="Cambria" w:cs="Cambria"/>
        </w:rPr>
        <w:t xml:space="preserve">политическая ассоциация</w:t>
      </w:r>
      <w:r>
        <w:rPr>
          <w:rFonts w:ascii="Cambria" w:hAnsi="Cambria"/>
        </w:rPr>
        <w:t xml:space="preserve">, </w:t>
      </w:r>
      <w:r>
        <w:rPr>
          <w:rFonts w:ascii="Cambria" w:hAnsi="Cambria" w:cs="Cambria"/>
        </w:rPr>
        <w:t xml:space="preserve">основанная в марте</w:t>
      </w:r>
      <w:r>
        <w:rPr>
          <w:rFonts w:ascii="Cambria" w:hAnsi="Cambria"/>
        </w:rPr>
        <w:t xml:space="preserve"> 1928 </w:t>
      </w:r>
      <w:r>
        <w:rPr>
          <w:rFonts w:ascii="Cambria" w:hAnsi="Cambria" w:cs="Cambria"/>
        </w:rPr>
        <w:t xml:space="preserve">года учителем Хасаном аль</w:t>
      </w:r>
      <w:r>
        <w:rPr>
          <w:rFonts w:ascii="Cambria" w:hAnsi="Cambria"/>
        </w:rPr>
        <w:t xml:space="preserve">-</w:t>
      </w:r>
      <w:r>
        <w:rPr>
          <w:rFonts w:ascii="Cambria" w:hAnsi="Cambria" w:cs="Cambria"/>
        </w:rPr>
        <w:t xml:space="preserve">Банна в Исмаилии</w:t>
      </w:r>
      <w:r>
        <w:rPr>
          <w:rFonts w:ascii="Cambria" w:hAnsi="Cambria"/>
        </w:rPr>
        <w:t xml:space="preserve"> (</w:t>
      </w:r>
      <w:r>
        <w:rPr>
          <w:rFonts w:ascii="Cambria" w:hAnsi="Cambria" w:cs="Cambria"/>
        </w:rPr>
        <w:t xml:space="preserve">Египет</w:t>
      </w:r>
      <w:r>
        <w:rPr>
          <w:rFonts w:ascii="Cambria" w:hAnsi="Cambria"/>
        </w:rPr>
        <w:t xml:space="preserve">);</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8. </w:t>
      </w:r>
      <w:r>
        <w:rPr>
          <w:rFonts w:ascii="Cambria" w:hAnsi="Cambria"/>
          <w:b/>
          <w:bCs/>
        </w:rPr>
        <w:t xml:space="preserve">«Партия исламского освобождения»</w:t>
      </w:r>
      <w:r>
        <w:rPr>
          <w:rFonts w:ascii="Cambria" w:hAnsi="Cambria"/>
          <w:bCs/>
        </w:rPr>
        <w:t xml:space="preserve"> («Хизбут-Тахрир аль-Ислами») – (араб. </w:t>
      </w:r>
      <w:r>
        <w:rPr>
          <w:bCs/>
        </w:rPr>
        <w:t xml:space="preserve">حزبالتحريرالإسلامي</w:t>
      </w:r>
      <w:r>
        <w:rPr>
          <w:rFonts w:ascii="Cambria" w:hAnsi="Cambria" w:cs="Cambria"/>
          <w:bCs/>
        </w:rPr>
        <w:t xml:space="preserve">‎</w:t>
      </w:r>
      <w:r>
        <w:rPr>
          <w:rFonts w:ascii="Cambria" w:hAnsi="Cambria"/>
          <w:bCs/>
        </w:rPr>
        <w:t xml:space="preserve">- «Исламская партия освобождения») – международная панисламистская политическая партия, основанная в 1953 году в Восточном Иерусалиме судьёй местного шариатского апелляционного суда Такиюддином ан-Набхани;</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9. </w:t>
      </w:r>
      <w:r>
        <w:rPr>
          <w:rFonts w:ascii="Cambria" w:hAnsi="Cambria"/>
          <w:b/>
          <w:bCs/>
        </w:rPr>
        <w:t xml:space="preserve">«Лашкар-И-Тайба»</w:t>
      </w:r>
      <w:r>
        <w:rPr>
          <w:rFonts w:ascii="Cambria" w:hAnsi="Cambria"/>
          <w:bCs/>
        </w:rPr>
        <w:t xml:space="preserve"> – (урду. </w:t>
      </w:r>
      <w:r>
        <w:rPr>
          <w:bCs/>
        </w:rPr>
        <w:t xml:space="preserve">لشكرِطيبه</w:t>
      </w:r>
      <w:r>
        <w:rPr>
          <w:rFonts w:ascii="Cambria" w:hAnsi="Cambria" w:cs="Cambria"/>
          <w:bCs/>
        </w:rPr>
        <w:t xml:space="preserve">‎</w:t>
      </w:r>
      <w:r>
        <w:rPr>
          <w:rFonts w:ascii="Cambria" w:hAnsi="Cambria"/>
          <w:bCs/>
        </w:rPr>
        <w:t xml:space="preserve">; </w:t>
      </w:r>
      <w:r>
        <w:rPr>
          <w:rFonts w:ascii="Cambria" w:hAnsi="Cambria" w:cs="Cambria"/>
          <w:bCs/>
        </w:rPr>
        <w:t xml:space="preserve">буквально«Армия Бога»</w:t>
      </w:r>
      <w:r>
        <w:rPr>
          <w:rFonts w:ascii="Cambria" w:hAnsi="Cambria"/>
          <w:bCs/>
        </w:rPr>
        <w:t xml:space="preserve">, </w:t>
      </w:r>
      <w:r>
        <w:rPr>
          <w:rFonts w:ascii="Cambria" w:hAnsi="Cambria" w:cs="Cambria"/>
          <w:bCs/>
        </w:rPr>
        <w:t xml:space="preserve">обычно переводимая как «Армия Справедливого»</w:t>
      </w:r>
      <w:r>
        <w:rPr>
          <w:rFonts w:ascii="Cambria" w:hAnsi="Cambria"/>
          <w:bCs/>
        </w:rPr>
        <w:t xml:space="preserve">) </w:t>
      </w:r>
      <w:r>
        <w:rPr>
          <w:rFonts w:ascii="Cambria" w:hAnsi="Cambria" w:cs="Cambria"/>
          <w:bCs/>
        </w:rPr>
        <w:t xml:space="preserve">– одна из самых больших и самых активных террористических организаций в ЮжнойАзии</w:t>
      </w:r>
      <w:r>
        <w:rPr>
          <w:rFonts w:ascii="Cambria" w:hAnsi="Cambria"/>
          <w:bCs/>
        </w:rPr>
        <w:t xml:space="preserve">, </w:t>
      </w:r>
      <w:r>
        <w:rPr>
          <w:rFonts w:ascii="Cambria" w:hAnsi="Cambria" w:cs="Cambria"/>
          <w:bCs/>
        </w:rPr>
        <w:t xml:space="preserve">деятельность о</w:t>
      </w:r>
      <w:r>
        <w:rPr>
          <w:rFonts w:ascii="Cambria" w:hAnsi="Cambria"/>
          <w:bCs/>
        </w:rPr>
        <w:t xml:space="preserve">существляется в основном в Пакистане;</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10. </w:t>
      </w:r>
      <w:r>
        <w:rPr>
          <w:rFonts w:ascii="Cambria" w:hAnsi="Cambria"/>
          <w:b/>
          <w:bCs/>
        </w:rPr>
        <w:t xml:space="preserve">«Исламская группа»</w:t>
      </w:r>
      <w:r>
        <w:rPr>
          <w:rFonts w:ascii="Cambria" w:hAnsi="Cambria"/>
          <w:bCs/>
        </w:rPr>
        <w:t xml:space="preserve"> («Джамаат-и-Ислами»(язык урду: </w:t>
      </w:r>
      <w:r>
        <w:rPr>
          <w:bCs/>
        </w:rPr>
        <w:t xml:space="preserve">جماعتِاسلامی</w:t>
      </w:r>
      <w:r>
        <w:rPr>
          <w:rFonts w:ascii="Cambria" w:hAnsi="Cambria"/>
          <w:bCs/>
        </w:rPr>
        <w:t xml:space="preserve">, </w:t>
      </w:r>
      <w:r>
        <w:rPr>
          <w:rFonts w:ascii="Cambria" w:hAnsi="Cambria" w:cs="Cambria"/>
          <w:bCs/>
        </w:rPr>
        <w:t xml:space="preserve">«Исламский Блок»</w:t>
      </w:r>
      <w:r>
        <w:rPr>
          <w:rFonts w:ascii="Cambria" w:hAnsi="Cambria"/>
          <w:bCs/>
        </w:rPr>
        <w:t xml:space="preserve">, </w:t>
      </w:r>
      <w:r>
        <w:rPr>
          <w:rFonts w:ascii="Cambria" w:hAnsi="Cambria" w:cs="Cambria"/>
          <w:bCs/>
        </w:rPr>
        <w:t xml:space="preserve">«Исламское общество»</w:t>
      </w:r>
      <w:r>
        <w:rPr>
          <w:rFonts w:ascii="Cambria" w:hAnsi="Cambria"/>
          <w:bCs/>
        </w:rPr>
        <w:t xml:space="preserve">) </w:t>
      </w:r>
      <w:r>
        <w:rPr>
          <w:rFonts w:ascii="Cambria" w:hAnsi="Cambria" w:cs="Cambria"/>
          <w:bCs/>
        </w:rPr>
        <w:t xml:space="preserve">– политическая партия в Пакистане</w:t>
      </w:r>
      <w:r>
        <w:rPr>
          <w:rFonts w:ascii="Cambria" w:hAnsi="Cambria"/>
          <w:bCs/>
        </w:rPr>
        <w:t xml:space="preserve">, </w:t>
      </w:r>
      <w:r>
        <w:rPr>
          <w:rFonts w:ascii="Cambria" w:hAnsi="Cambria" w:cs="Cambria"/>
          <w:bCs/>
        </w:rPr>
        <w:t xml:space="preserve">создана в</w:t>
      </w:r>
      <w:r>
        <w:rPr>
          <w:rFonts w:ascii="Cambria" w:hAnsi="Cambria"/>
          <w:bCs/>
        </w:rPr>
        <w:t xml:space="preserve"> 40-</w:t>
      </w:r>
      <w:r>
        <w:rPr>
          <w:rFonts w:ascii="Cambria" w:hAnsi="Cambria" w:cs="Cambria"/>
          <w:bCs/>
        </w:rPr>
        <w:t xml:space="preserve">х годах ХХ века Саийдом Абуль Ала Маудууди</w:t>
      </w:r>
      <w:r>
        <w:rPr>
          <w:rFonts w:ascii="Cambria" w:hAnsi="Cambria"/>
          <w:bCs/>
        </w:rPr>
        <w:t xml:space="preserve">;</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11. </w:t>
      </w:r>
      <w:r>
        <w:rPr>
          <w:rFonts w:ascii="Cambria" w:hAnsi="Cambria"/>
          <w:b/>
          <w:bCs/>
        </w:rPr>
        <w:t xml:space="preserve">«Движение Талибан»</w:t>
      </w:r>
      <w:r>
        <w:rPr>
          <w:rFonts w:ascii="Cambria" w:hAnsi="Cambria"/>
          <w:bCs/>
        </w:rPr>
        <w:t xml:space="preserve"> – (пушту. </w:t>
      </w:r>
      <w:r>
        <w:rPr>
          <w:bCs/>
        </w:rPr>
        <w:t xml:space="preserve">طالبان</w:t>
      </w:r>
      <w:r>
        <w:rPr>
          <w:rFonts w:ascii="Cambria" w:hAnsi="Cambria" w:cs="Cambria"/>
          <w:bCs/>
        </w:rPr>
        <w:t xml:space="preserve">‎–студенты</w:t>
      </w:r>
      <w:r>
        <w:rPr>
          <w:rFonts w:ascii="Cambria" w:hAnsi="Cambria"/>
          <w:bCs/>
        </w:rPr>
        <w:t xml:space="preserve">, </w:t>
      </w:r>
      <w:r>
        <w:rPr>
          <w:rFonts w:ascii="Cambria" w:hAnsi="Cambria" w:cs="Cambria"/>
          <w:bCs/>
        </w:rPr>
        <w:t xml:space="preserve">учащиесямедресе</w:t>
      </w:r>
      <w:r>
        <w:rPr>
          <w:rFonts w:ascii="Cambria" w:hAnsi="Cambria"/>
          <w:bCs/>
        </w:rPr>
        <w:t xml:space="preserve">) – исламское движение, зародившееся в Афганистане среди пуштунов в 1994 году, правило Афганистаном с 1996 по 2001 год («Исламский Эмират Афганистан») и регионом Вазиристан на севере Пакистана («Исламское государство Вазиристан») с 2004 года;</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12. </w:t>
      </w:r>
      <w:r>
        <w:rPr>
          <w:rFonts w:ascii="Cambria" w:hAnsi="Cambria"/>
          <w:b/>
          <w:bCs/>
        </w:rPr>
        <w:t xml:space="preserve">«Исламская партия Туркестана»</w:t>
      </w:r>
      <w:r>
        <w:rPr>
          <w:rFonts w:ascii="Cambria" w:hAnsi="Cambria"/>
          <w:bCs/>
        </w:rPr>
        <w:t xml:space="preserve"> (бывшее «Исламское движение Узбекистана») –радикальная организация, со</w:t>
      </w:r>
      <w:r>
        <w:rPr>
          <w:rFonts w:ascii="Cambria" w:hAnsi="Cambria"/>
          <w:bCs/>
        </w:rPr>
        <w:t xml:space="preserve">з</w:t>
      </w:r>
      <w:r>
        <w:rPr>
          <w:rFonts w:ascii="Cambria" w:hAnsi="Cambria"/>
          <w:bCs/>
        </w:rPr>
        <w:t xml:space="preserve">данная в 1996 году бывшими членами ряда запрещённых в Узбекистане политических партий и движений, включая «Адолатуюшмаси» («Общество справедливости»), «Исламская партия Возрождения», «Исламская партия Туркестана», «Ислом Лашкарлари» («Воины Ислама») и др.;</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13. </w:t>
      </w:r>
      <w:r>
        <w:rPr>
          <w:rFonts w:ascii="Cambria" w:hAnsi="Cambria"/>
          <w:b/>
          <w:bCs/>
        </w:rPr>
        <w:t xml:space="preserve">«Общество социальных реформ»</w:t>
      </w:r>
      <w:r>
        <w:rPr>
          <w:rFonts w:ascii="Cambria" w:hAnsi="Cambria"/>
          <w:bCs/>
        </w:rPr>
        <w:t xml:space="preserve"> (Джамият аль-Ислах аль-Иджтимаи) – радикальная организация со штаб-квартирой в Эль-Кувейте (Кувейт);</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14. </w:t>
      </w:r>
      <w:r>
        <w:rPr>
          <w:rFonts w:ascii="Cambria" w:hAnsi="Cambria"/>
          <w:b/>
          <w:bCs/>
        </w:rPr>
        <w:t xml:space="preserve">«Общество возрождения исламского наследия»</w:t>
      </w:r>
      <w:r>
        <w:rPr>
          <w:rFonts w:ascii="Cambria" w:hAnsi="Cambria"/>
          <w:bCs/>
        </w:rPr>
        <w:t xml:space="preserve"> («Джамият Ихьяат-Тураз аль-Ислами») – (араб. </w:t>
      </w:r>
      <w:r>
        <w:rPr>
          <w:bCs/>
        </w:rPr>
        <w:t xml:space="preserve">جمعيةإحياءالتراثالإسلامي</w:t>
      </w:r>
      <w:r>
        <w:rPr>
          <w:rFonts w:ascii="Cambria" w:hAnsi="Cambria" w:cs="Cambria"/>
          <w:bCs/>
        </w:rPr>
        <w:t xml:space="preserve">‎–</w:t>
      </w:r>
      <w:r>
        <w:rPr>
          <w:rFonts w:ascii="Cambria" w:hAnsi="Cambria"/>
          <w:bCs/>
        </w:rPr>
        <w:t xml:space="preserve">) – международная спонсорская благотворительная организация;</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15. </w:t>
      </w:r>
      <w:r>
        <w:rPr>
          <w:rFonts w:ascii="Cambria" w:hAnsi="Cambria"/>
          <w:b/>
          <w:bCs/>
        </w:rPr>
        <w:t xml:space="preserve">«Дом двух святых»</w:t>
      </w:r>
      <w:r>
        <w:rPr>
          <w:rFonts w:ascii="Cambria" w:hAnsi="Cambria"/>
          <w:bCs/>
        </w:rPr>
        <w:t xml:space="preserve"> («Аль-Харамейн») – исламский благотворительный фонд, базирующийся в Саудовской Аравии;</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16.</w:t>
      </w:r>
      <w:r>
        <w:rPr>
          <w:rFonts w:ascii="Cambria" w:hAnsi="Cambria"/>
          <w:b/>
          <w:bCs/>
        </w:rPr>
        <w:t xml:space="preserve">«Джундаш-Шам»</w:t>
      </w:r>
      <w:r>
        <w:rPr>
          <w:rFonts w:ascii="Cambria" w:hAnsi="Cambria"/>
          <w:bCs/>
        </w:rPr>
        <w:t xml:space="preserve"> (Войско Великой Сирии) – (араб. </w:t>
      </w:r>
      <w:r>
        <w:rPr>
          <w:bCs/>
        </w:rPr>
        <w:t xml:space="preserve">جندالشام</w:t>
      </w:r>
      <w:r>
        <w:rPr>
          <w:rFonts w:ascii="Cambria" w:hAnsi="Cambria" w:cs="Cambria"/>
          <w:bCs/>
        </w:rPr>
        <w:t xml:space="preserve">‎воины Дамаска</w:t>
      </w:r>
      <w:r>
        <w:rPr>
          <w:rFonts w:ascii="Cambria" w:hAnsi="Cambria"/>
          <w:bCs/>
        </w:rPr>
        <w:t xml:space="preserve">) </w:t>
      </w:r>
      <w:r>
        <w:rPr>
          <w:rFonts w:ascii="Cambria" w:hAnsi="Cambria" w:cs="Cambria"/>
          <w:bCs/>
        </w:rPr>
        <w:t xml:space="preserve">–ливанская суннитская террористическая организация</w:t>
      </w:r>
      <w:r>
        <w:rPr>
          <w:rFonts w:ascii="Cambria" w:hAnsi="Cambria"/>
          <w:bCs/>
        </w:rPr>
        <w:t xml:space="preserve">;</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17. </w:t>
      </w:r>
      <w:r>
        <w:rPr>
          <w:rFonts w:ascii="Cambria" w:hAnsi="Cambria"/>
          <w:b/>
          <w:bCs/>
        </w:rPr>
        <w:t xml:space="preserve">«Исламский джихад – Джамаат моджахедов»</w:t>
      </w:r>
      <w:r>
        <w:rPr>
          <w:rFonts w:ascii="Cambria" w:hAnsi="Cambria"/>
          <w:bCs/>
        </w:rPr>
        <w:t xml:space="preserve"> – террористическая организация;</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18. Организация </w:t>
      </w:r>
      <w:r>
        <w:rPr>
          <w:rFonts w:ascii="Cambria" w:hAnsi="Cambria"/>
          <w:b/>
          <w:bCs/>
        </w:rPr>
        <w:t xml:space="preserve">«Аль-Каида в Исламском Магрибе»</w:t>
      </w:r>
      <w:r>
        <w:rPr>
          <w:rFonts w:ascii="Cambria" w:hAnsi="Cambria"/>
          <w:bCs/>
        </w:rPr>
        <w:t xml:space="preserve">, известная ранее как «Салафитская группа проповеди и джихада» (АКИМ, араб. </w:t>
      </w:r>
      <w:r>
        <w:rPr>
          <w:bCs/>
        </w:rPr>
        <w:t xml:space="preserve">الجماعةالسلفيةللدعوةوالقتال</w:t>
      </w:r>
      <w:r>
        <w:rPr>
          <w:rFonts w:ascii="Cambria" w:hAnsi="Cambria" w:cs="Cambria"/>
          <w:bCs/>
        </w:rPr>
        <w:t xml:space="preserve">‎</w:t>
      </w:r>
      <w:r>
        <w:rPr>
          <w:rFonts w:ascii="Cambria" w:hAnsi="Cambria"/>
          <w:bCs/>
        </w:rPr>
        <w:t xml:space="preserve">) –фундаменталистская вооруженная группировка, одна из основных действующих сил в конфликте в Магрибе;</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19. </w:t>
      </w:r>
      <w:r>
        <w:rPr>
          <w:rFonts w:ascii="Cambria" w:hAnsi="Cambria"/>
          <w:b/>
          <w:bCs/>
        </w:rPr>
        <w:t xml:space="preserve">«Кавказский эмират»</w:t>
      </w:r>
      <w:r>
        <w:rPr>
          <w:rFonts w:ascii="Cambria" w:hAnsi="Cambria"/>
          <w:bCs/>
        </w:rPr>
        <w:t xml:space="preserve"> (самоназвание «Имарат Кавказ», также «Северокавказский Эмират») – террористическая организация, действовавшая на Северном Кавказе и ставившая своей целью создание независимого исламского государства (эмирата) на его территории;</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20. </w:t>
      </w:r>
      <w:r>
        <w:rPr>
          <w:rFonts w:ascii="Cambria" w:hAnsi="Cambria"/>
          <w:b/>
          <w:bCs/>
        </w:rPr>
        <w:t xml:space="preserve">«Синдикат «Автономная боевая террористическая организация (АБТО)»</w:t>
      </w:r>
      <w:r>
        <w:rPr>
          <w:rFonts w:ascii="Cambria" w:hAnsi="Cambria"/>
          <w:bCs/>
        </w:rPr>
        <w:t xml:space="preserve"> – организованная преступная группа в составе как минимум 10 человек, осужденных на разные сроки за террористические акты, незаконное хранение и изготовление взрывчатых веществ, призывы к экстремизму и возбуждение ненависти;</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21. </w:t>
      </w:r>
      <w:r>
        <w:rPr>
          <w:rFonts w:ascii="Cambria" w:hAnsi="Cambria"/>
          <w:b/>
          <w:bCs/>
        </w:rPr>
        <w:t xml:space="preserve">«Террористическое сообщество - структурное подразделение организации «Правый сектор» на территории Республики Крым»</w:t>
      </w:r>
      <w:r>
        <w:rPr>
          <w:rFonts w:ascii="Cambria" w:hAnsi="Cambria"/>
          <w:bCs/>
        </w:rPr>
        <w:t xml:space="preserve"> – структурное подразделение организации «Правый сектор» на территории Республики Крым;</w:t>
      </w:r>
      <w:r/>
    </w:p>
    <w:p>
      <w:pPr>
        <w:ind w:firstLine="709"/>
        <w:jc w:val="both"/>
        <w:spacing w:lineRule="auto" w:line="240" w:after="0"/>
        <w:rPr>
          <w:rFonts w:ascii="Cambria" w:hAnsi="Cambria" w:cs="Times New Roman"/>
          <w:color w:val="000000"/>
          <w:sz w:val="24"/>
          <w:szCs w:val="24"/>
        </w:rPr>
      </w:pPr>
      <w:r>
        <w:rPr>
          <w:rFonts w:ascii="Cambria" w:hAnsi="Cambria" w:cs="Times New Roman" w:eastAsia="Times New Roman"/>
          <w:bCs/>
          <w:sz w:val="24"/>
          <w:szCs w:val="24"/>
          <w:lang w:eastAsia="ru-RU"/>
        </w:rPr>
        <w:t xml:space="preserve">22. </w:t>
      </w:r>
      <w:r>
        <w:rPr>
          <w:rFonts w:ascii="Cambria" w:hAnsi="Cambria" w:cs="Times New Roman" w:eastAsia="Times New Roman"/>
          <w:b/>
          <w:bCs/>
          <w:sz w:val="24"/>
          <w:szCs w:val="24"/>
          <w:lang w:eastAsia="ru-RU"/>
        </w:rPr>
        <w:t xml:space="preserve">«Исламское государство»</w:t>
      </w:r>
      <w:r>
        <w:rPr>
          <w:rFonts w:ascii="Cambria" w:hAnsi="Cambria" w:cs="Times New Roman" w:eastAsia="Times New Roman"/>
          <w:bCs/>
          <w:sz w:val="24"/>
          <w:szCs w:val="24"/>
          <w:lang w:eastAsia="ru-RU"/>
        </w:rPr>
        <w:t xml:space="preserve"> (другие названия: «Исламское Государство Ирака и Сирии», «Исламское Государство Ирака и Леванта», «Исламское Государство Ирака и Шама») – (араб. </w:t>
      </w:r>
      <w:r>
        <w:rPr>
          <w:rFonts w:ascii="Times New Roman" w:hAnsi="Times New Roman" w:cs="Times New Roman" w:eastAsia="Times New Roman"/>
          <w:bCs/>
          <w:sz w:val="24"/>
          <w:szCs w:val="24"/>
          <w:lang w:eastAsia="ru-RU"/>
        </w:rPr>
        <w:t xml:space="preserve">الدّولةالإسلاميّة</w:t>
      </w:r>
      <w:r>
        <w:rPr>
          <w:rFonts w:ascii="Cambria" w:hAnsi="Cambria" w:cs="Cambria" w:eastAsia="Times New Roman"/>
          <w:bCs/>
          <w:sz w:val="24"/>
          <w:szCs w:val="24"/>
          <w:lang w:eastAsia="ru-RU"/>
        </w:rPr>
        <w:t xml:space="preserve">ад</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Да</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улятуль</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Ислами</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йя</w:t>
      </w:r>
      <w:r>
        <w:rPr>
          <w:rFonts w:ascii="Cambria" w:hAnsi="Cambria" w:cs="Times New Roman" w:eastAsia="Times New Roman"/>
          <w:bCs/>
          <w:sz w:val="24"/>
          <w:szCs w:val="24"/>
          <w:lang w:eastAsia="ru-RU"/>
        </w:rPr>
        <w:t xml:space="preserve">), </w:t>
      </w:r>
      <w:r>
        <w:rPr>
          <w:rFonts w:ascii="Cambria" w:hAnsi="Cambria" w:cs="Cambria" w:eastAsia="Times New Roman"/>
          <w:bCs/>
          <w:sz w:val="24"/>
          <w:szCs w:val="24"/>
          <w:lang w:eastAsia="ru-RU"/>
        </w:rPr>
        <w:t xml:space="preserve">сокращённо ИГ</w:t>
      </w:r>
      <w:r>
        <w:rPr>
          <w:rFonts w:ascii="Cambria" w:hAnsi="Cambria" w:cs="Times New Roman" w:eastAsia="Times New Roman"/>
          <w:bCs/>
          <w:sz w:val="24"/>
          <w:szCs w:val="24"/>
          <w:lang w:eastAsia="ru-RU"/>
        </w:rPr>
        <w:t xml:space="preserve">, </w:t>
      </w:r>
      <w:r>
        <w:rPr>
          <w:rFonts w:ascii="Cambria" w:hAnsi="Cambria" w:cs="Cambria" w:eastAsia="Times New Roman"/>
          <w:bCs/>
          <w:sz w:val="24"/>
          <w:szCs w:val="24"/>
          <w:lang w:eastAsia="ru-RU"/>
        </w:rPr>
        <w:t xml:space="preserve">ранее«Исла</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мское госу</w:t>
      </w:r>
      <w:r>
        <w:rPr>
          <w:rFonts w:ascii="Cambria" w:hAnsi="Cambria" w:cs="Times New Roman" w:eastAsia="Times New Roman"/>
          <w:bCs/>
          <w:sz w:val="24"/>
          <w:szCs w:val="24"/>
          <w:lang w:eastAsia="ru-RU"/>
        </w:rPr>
        <w:t xml:space="preserve">да́рство Ира́ка и Лева́нта» (араб. </w:t>
      </w:r>
      <w:r>
        <w:rPr>
          <w:rFonts w:ascii="Times New Roman" w:hAnsi="Times New Roman" w:cs="Times New Roman" w:eastAsia="Times New Roman"/>
          <w:bCs/>
          <w:sz w:val="24"/>
          <w:szCs w:val="24"/>
          <w:lang w:eastAsia="ru-RU"/>
        </w:rPr>
        <w:t xml:space="preserve">الدولةالإسلاميةفيالعراقوالشام</w:t>
      </w:r>
      <w:r>
        <w:rPr>
          <w:rFonts w:ascii="Cambria" w:hAnsi="Cambria" w:cs="Cambria" w:eastAsia="Times New Roman"/>
          <w:bCs/>
          <w:sz w:val="24"/>
          <w:szCs w:val="24"/>
          <w:lang w:eastAsia="ru-RU"/>
        </w:rPr>
        <w:t xml:space="preserve">‎</w:t>
      </w:r>
      <w:r>
        <w:rPr>
          <w:rFonts w:ascii="Cambria" w:hAnsi="Cambria" w:cs="Times New Roman" w:eastAsia="Times New Roman"/>
          <w:bCs/>
          <w:sz w:val="24"/>
          <w:szCs w:val="24"/>
          <w:lang w:eastAsia="ru-RU"/>
        </w:rPr>
        <w:t xml:space="preserve">), </w:t>
      </w:r>
      <w:r>
        <w:rPr>
          <w:rFonts w:ascii="Cambria" w:hAnsi="Cambria" w:cs="Cambria" w:eastAsia="Times New Roman"/>
          <w:bCs/>
          <w:sz w:val="24"/>
          <w:szCs w:val="24"/>
          <w:lang w:eastAsia="ru-RU"/>
        </w:rPr>
        <w:t xml:space="preserve">сокращённо ИГИ</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Л или ДА</w:t>
      </w:r>
      <w:r>
        <w:rPr>
          <w:rFonts w:ascii="Cambria" w:hAnsi="Cambria" w:cs="Times New Roman" w:eastAsia="Times New Roman"/>
          <w:bCs/>
          <w:sz w:val="24"/>
          <w:szCs w:val="24"/>
          <w:lang w:eastAsia="ru-RU"/>
        </w:rPr>
        <w:t xml:space="preserve">́</w:t>
      </w:r>
      <w:r>
        <w:rPr>
          <w:rFonts w:ascii="Cambria" w:hAnsi="Cambria" w:cs="Cambria" w:eastAsia="Times New Roman"/>
          <w:bCs/>
          <w:sz w:val="24"/>
          <w:szCs w:val="24"/>
          <w:lang w:eastAsia="ru-RU"/>
        </w:rPr>
        <w:t xml:space="preserve">ИШ</w:t>
      </w:r>
      <w:r>
        <w:rPr>
          <w:rFonts w:ascii="Cambria" w:hAnsi="Cambria" w:cs="Times New Roman" w:eastAsia="Times New Roman"/>
          <w:bCs/>
          <w:sz w:val="24"/>
          <w:szCs w:val="24"/>
          <w:lang w:eastAsia="ru-RU"/>
        </w:rPr>
        <w:t xml:space="preserve">– международная террористическая организация, действующая преимущественно на территории Сирии (частично контролируя её северо-восточные территории) и Ирака (частично контролируя территорию «суннитского треугольника») факти</w:t>
      </w:r>
      <w:r>
        <w:rPr>
          <w:rFonts w:ascii="Cambria" w:hAnsi="Cambria" w:cs="Times New Roman" w:eastAsia="Times New Roman"/>
          <w:bCs/>
          <w:sz w:val="24"/>
          <w:szCs w:val="24"/>
          <w:lang w:eastAsia="ru-RU"/>
        </w:rPr>
        <w:t xml:space="preserve">чески с 2013 года как непризнанное квазигосударство (провозглашённое как всемирный халифат 29 июня 2014 года) с шариатской формой правления и штаб-квартирой (фактически столицей) в иракском городе Рава (почти всё время ранее – в сирийском городе Эр-Ракка);</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23. «</w:t>
      </w:r>
      <w:r>
        <w:rPr>
          <w:rFonts w:ascii="Cambria" w:hAnsi="Cambria"/>
          <w:b/>
          <w:bCs/>
        </w:rPr>
        <w:t xml:space="preserve">Джебхат ан-Нусра»</w:t>
      </w:r>
      <w:r>
        <w:rPr>
          <w:rFonts w:ascii="Cambria" w:hAnsi="Cambria"/>
          <w:bCs/>
        </w:rPr>
        <w:t xml:space="preserve"> (Фронт победы) – (другие названия: «Джабха аль-Нусра ли-Ахльаш-Шам» (Фронт поддержки Великой Сирии)(араб. </w:t>
      </w:r>
      <w:r>
        <w:rPr>
          <w:bCs/>
        </w:rPr>
        <w:t xml:space="preserve">جبهةالنصرةلأهلالشام</w:t>
      </w:r>
      <w:r>
        <w:rPr>
          <w:rFonts w:ascii="Cambria" w:hAnsi="Cambria" w:cs="Cambria"/>
          <w:bCs/>
        </w:rPr>
        <w:t xml:space="preserve">‎</w:t>
      </w:r>
      <w:r>
        <w:rPr>
          <w:rFonts w:ascii="Cambria" w:hAnsi="Cambria"/>
          <w:bCs/>
        </w:rPr>
        <w:t xml:space="preserve">) </w:t>
      </w:r>
      <w:r>
        <w:rPr>
          <w:rFonts w:ascii="Cambria" w:hAnsi="Cambria" w:cs="Cambria"/>
          <w:bCs/>
        </w:rPr>
        <w:t xml:space="preserve">в н</w:t>
      </w:r>
      <w:r>
        <w:rPr>
          <w:rFonts w:ascii="Cambria" w:hAnsi="Cambria"/>
          <w:bCs/>
        </w:rPr>
        <w:t xml:space="preserve">.</w:t>
      </w:r>
      <w:r>
        <w:rPr>
          <w:rFonts w:ascii="Cambria" w:hAnsi="Cambria" w:cs="Cambria"/>
          <w:bCs/>
        </w:rPr>
        <w:t xml:space="preserve">в</w:t>
      </w:r>
      <w:r>
        <w:rPr>
          <w:rFonts w:ascii="Cambria" w:hAnsi="Cambria"/>
          <w:bCs/>
        </w:rPr>
        <w:t xml:space="preserve">. </w:t>
      </w:r>
      <w:r>
        <w:rPr>
          <w:rFonts w:ascii="Cambria" w:hAnsi="Cambria" w:cs="Cambria"/>
          <w:bCs/>
        </w:rPr>
        <w:t xml:space="preserve">ДжабхатФатхаш</w:t>
      </w:r>
      <w:r>
        <w:rPr>
          <w:rFonts w:ascii="Cambria" w:hAnsi="Cambria"/>
          <w:bCs/>
        </w:rPr>
        <w:t xml:space="preserve">-</w:t>
      </w:r>
      <w:r>
        <w:rPr>
          <w:rFonts w:ascii="Cambria" w:hAnsi="Cambria" w:cs="Cambria"/>
          <w:bCs/>
        </w:rPr>
        <w:t xml:space="preserve">Шам</w:t>
      </w:r>
      <w:r>
        <w:rPr>
          <w:rFonts w:ascii="Cambria" w:hAnsi="Cambria"/>
          <w:bCs/>
        </w:rPr>
        <w:t xml:space="preserve">– отделение международной исламистской террористической организации «Аль-Каида» на территории Сирии и Ливана;</w:t>
      </w:r>
      <w:r/>
    </w:p>
    <w:p>
      <w:pPr>
        <w:ind w:firstLine="709"/>
        <w:jc w:val="both"/>
        <w:spacing w:lineRule="auto" w:line="240" w:after="0"/>
        <w:rPr>
          <w:rFonts w:ascii="Cambria" w:hAnsi="Cambria" w:cs="Times New Roman"/>
          <w:bCs/>
          <w:sz w:val="24"/>
          <w:szCs w:val="24"/>
        </w:rPr>
      </w:pPr>
      <w:r>
        <w:rPr>
          <w:rFonts w:ascii="Cambria" w:hAnsi="Cambria" w:cs="Times New Roman" w:eastAsia="Times New Roman"/>
          <w:bCs/>
          <w:sz w:val="24"/>
          <w:szCs w:val="24"/>
          <w:lang w:eastAsia="ru-RU"/>
        </w:rPr>
        <w:t xml:space="preserve">24. Всероссийское общественное движение </w:t>
      </w:r>
      <w:r>
        <w:rPr>
          <w:rFonts w:ascii="Cambria" w:hAnsi="Cambria" w:cs="Times New Roman" w:eastAsia="Times New Roman"/>
          <w:b/>
          <w:bCs/>
          <w:sz w:val="24"/>
          <w:szCs w:val="24"/>
          <w:lang w:eastAsia="ru-RU"/>
        </w:rPr>
        <w:t xml:space="preserve">«Народное ополчение имени К. Минина и Д. Пожарского» - </w:t>
      </w:r>
      <w:r>
        <w:rPr>
          <w:rFonts w:ascii="Cambria" w:hAnsi="Cambria" w:cs="Times New Roman"/>
          <w:bCs/>
          <w:sz w:val="24"/>
          <w:szCs w:val="24"/>
        </w:rPr>
        <w:t xml:space="preserve">незарегистированная российская общественная организация;</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25. Радикальная организация </w:t>
      </w:r>
      <w:r>
        <w:rPr>
          <w:rFonts w:ascii="Cambria" w:hAnsi="Cambria"/>
          <w:b/>
          <w:bCs/>
        </w:rPr>
        <w:t xml:space="preserve">«Аджр от Аллаха Субханууа Тагьаля SHAM»</w:t>
      </w:r>
      <w:r>
        <w:rPr>
          <w:rFonts w:ascii="Cambria" w:hAnsi="Cambria"/>
          <w:bCs/>
        </w:rPr>
        <w:t xml:space="preserve"> (Благословение от Аллаха милостивого и милосердного СИРИЯ). Запрещена по решению Верховного Суда Российской Федерации от 28 декабря 2015 года;</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26. Международное религиозное объединение </w:t>
      </w:r>
      <w:r>
        <w:rPr>
          <w:rFonts w:ascii="Cambria" w:hAnsi="Cambria"/>
          <w:b/>
          <w:bCs/>
        </w:rPr>
        <w:t xml:space="preserve">«АУМ Синрике»</w:t>
      </w:r>
      <w:r>
        <w:rPr>
          <w:rFonts w:ascii="Cambria" w:hAnsi="Cambria"/>
          <w:bCs/>
        </w:rPr>
        <w:t xml:space="preserve"> (AumShinrikyo, AUM, Aleph). «АумСинрикё» (учение истины Аум), с 2000 года известная как «Алеф» -неорелигиозная деструктивная секта, возникшая в Японии – псевдобуддийское новое религиозное движение;</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27. </w:t>
      </w:r>
      <w:r>
        <w:rPr>
          <w:rFonts w:ascii="Cambria" w:hAnsi="Cambria"/>
          <w:b/>
          <w:bCs/>
        </w:rPr>
        <w:t xml:space="preserve">«Муджахеды джамаата Ат-Тавхида Валь-Джихад»</w:t>
      </w:r>
      <w:r>
        <w:rPr>
          <w:rFonts w:ascii="Cambria" w:hAnsi="Cambria"/>
          <w:bCs/>
        </w:rPr>
        <w:t xml:space="preserve">(араб. </w:t>
      </w:r>
      <w:r>
        <w:rPr>
          <w:bCs/>
        </w:rPr>
        <w:t xml:space="preserve">جماعةالتوحيدوالجهاد</w:t>
      </w:r>
      <w:r>
        <w:rPr>
          <w:rFonts w:ascii="Cambria" w:hAnsi="Cambria" w:cs="Cambria"/>
          <w:bCs/>
        </w:rPr>
        <w:t xml:space="preserve">‎‎</w:t>
      </w:r>
      <w:r>
        <w:rPr>
          <w:rFonts w:ascii="Cambria" w:hAnsi="Cambria"/>
          <w:bCs/>
        </w:rPr>
        <w:t xml:space="preserve">, </w:t>
      </w:r>
      <w:r>
        <w:rPr>
          <w:rFonts w:ascii="Cambria" w:hAnsi="Cambria" w:cs="Cambria"/>
          <w:bCs/>
        </w:rPr>
        <w:t xml:space="preserve">Армия единобожия и джихада</w:t>
      </w:r>
      <w:r>
        <w:rPr>
          <w:rFonts w:ascii="Cambria" w:hAnsi="Cambria"/>
          <w:bCs/>
        </w:rPr>
        <w:t xml:space="preserve">) – радикальная группировка под лидерством Абу Мусаба </w:t>
      </w:r>
      <w:r>
        <w:rPr>
          <w:rFonts w:ascii="Cambria" w:hAnsi="Cambria"/>
          <w:bCs/>
        </w:rPr>
        <w:t xml:space="preserve">аз-Заркави, созданная в 1999 году с целью свержения иорданского режима, который аз-Заркави считал неисламским, и установления исламского государства;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28. </w:t>
      </w:r>
      <w:r>
        <w:rPr>
          <w:rFonts w:ascii="Cambria" w:hAnsi="Cambria" w:cs="Times New Roman" w:eastAsia="Times New Roman"/>
          <w:b/>
          <w:bCs/>
          <w:sz w:val="24"/>
          <w:szCs w:val="24"/>
          <w:lang w:eastAsia="ru-RU"/>
        </w:rPr>
        <w:t xml:space="preserve">«Чистопольский Джамаат»</w:t>
      </w:r>
      <w:r>
        <w:rPr>
          <w:rFonts w:ascii="Cambria" w:hAnsi="Cambria" w:cs="Times New Roman" w:eastAsia="Times New Roman"/>
          <w:bCs/>
          <w:sz w:val="24"/>
          <w:szCs w:val="24"/>
          <w:lang w:eastAsia="ru-RU"/>
        </w:rPr>
        <w:t xml:space="preserve">. Признан террористической организацией решением Приволжского окружного военного суда от 22 февраля 2018 года № 2-1/2018, решение вступило в силу 24 июля 2018 года;</w:t>
      </w:r>
      <w:r/>
    </w:p>
    <w:p>
      <w:pPr>
        <w:ind w:firstLine="709"/>
        <w:jc w:val="both"/>
        <w:spacing w:lineRule="auto" w:line="240" w:after="0"/>
        <w:rPr>
          <w:rFonts w:ascii="Cambria" w:hAnsi="Cambria" w:cs="Times New Roman" w:eastAsia="Times New Roman"/>
          <w:bCs/>
          <w:sz w:val="24"/>
          <w:szCs w:val="24"/>
          <w:lang w:eastAsia="ru-RU"/>
        </w:rPr>
      </w:pPr>
      <w:r>
        <w:rPr>
          <w:rFonts w:ascii="Cambria" w:hAnsi="Cambria" w:cs="Times New Roman" w:eastAsia="Times New Roman"/>
          <w:bCs/>
          <w:sz w:val="24"/>
          <w:szCs w:val="24"/>
          <w:lang w:eastAsia="ru-RU"/>
        </w:rPr>
        <w:t xml:space="preserve">29. </w:t>
      </w:r>
      <w:r>
        <w:rPr>
          <w:rFonts w:ascii="Cambria" w:hAnsi="Cambria" w:cs="Times New Roman" w:eastAsia="Times New Roman"/>
          <w:b/>
          <w:bCs/>
          <w:sz w:val="24"/>
          <w:szCs w:val="24"/>
          <w:lang w:eastAsia="ru-RU"/>
        </w:rPr>
        <w:t xml:space="preserve">«Рохнамо ба суидавлатиисломи»</w:t>
      </w:r>
      <w:r>
        <w:rPr>
          <w:rFonts w:ascii="Cambria" w:hAnsi="Cambria" w:cs="Times New Roman" w:eastAsia="Times New Roman"/>
          <w:bCs/>
          <w:sz w:val="24"/>
          <w:szCs w:val="24"/>
          <w:lang w:eastAsia="ru-RU"/>
        </w:rPr>
        <w:t xml:space="preserve"> («Путеводитель в исламское государство»). Признан террористической организацией решением Московского окружного военного суда от 22 февраля 2018 года № 2-1/2018, решение вступило в силу 24 июля 2018 года;</w:t>
      </w:r>
      <w:r/>
    </w:p>
    <w:p>
      <w:pPr>
        <w:pStyle w:val="575"/>
        <w:ind w:firstLine="709"/>
        <w:jc w:val="both"/>
        <w:spacing w:after="0" w:afterAutospacing="0" w:before="0" w:beforeAutospacing="0"/>
        <w:shd w:val="clear" w:color="auto" w:fill="FFFFFF"/>
        <w:rPr>
          <w:rFonts w:ascii="Cambria" w:hAnsi="Cambria"/>
          <w:bCs/>
        </w:rPr>
      </w:pPr>
      <w:r>
        <w:rPr>
          <w:rFonts w:ascii="Cambria" w:hAnsi="Cambria"/>
          <w:bCs/>
        </w:rPr>
        <w:t xml:space="preserve">30. Террористическое сообщество </w:t>
      </w:r>
      <w:r>
        <w:rPr>
          <w:rFonts w:ascii="Cambria" w:hAnsi="Cambria"/>
          <w:b/>
          <w:bCs/>
        </w:rPr>
        <w:t xml:space="preserve">«Сеть»</w:t>
      </w:r>
      <w:r>
        <w:rPr>
          <w:rFonts w:ascii="Cambria" w:hAnsi="Cambria"/>
          <w:bCs/>
        </w:rPr>
        <w:t xml:space="preserve">. Признано террористической организацией решением Московского окружного военного суда от 17 января 2019 года № 2-132/2018, решение вступило в силу 14 марта 2019 года;</w:t>
      </w:r>
      <w:r/>
    </w:p>
    <w:p>
      <w:pPr>
        <w:pStyle w:val="575"/>
        <w:ind w:firstLine="709"/>
        <w:jc w:val="both"/>
        <w:spacing w:after="0" w:afterAutospacing="0" w:before="0" w:beforeAutospacing="0"/>
        <w:shd w:val="clear" w:color="auto" w:fill="FFFFFF"/>
        <w:rPr>
          <w:rFonts w:ascii="Cambria" w:hAnsi="Cambria"/>
        </w:rPr>
      </w:pPr>
      <w:r>
        <w:rPr>
          <w:rFonts w:ascii="Cambria" w:hAnsi="Cambria"/>
        </w:rPr>
        <w:t xml:space="preserve">31. </w:t>
      </w:r>
      <w:r>
        <w:rPr>
          <w:rFonts w:ascii="Cambria" w:hAnsi="Cambria"/>
          <w:b/>
        </w:rPr>
        <w:t xml:space="preserve">«Катиба Таухидваль-Джихад»</w:t>
      </w:r>
      <w:r>
        <w:rPr>
          <w:rFonts w:ascii="Cambria" w:hAnsi="Cambria"/>
        </w:rPr>
        <w:t xml:space="preserve"> (батальон «Единобожие и джихад»), признана террористической организацией решением Московского окружного военного суда </w:t>
      </w:r>
      <w:r>
        <w:rPr>
          <w:rFonts w:ascii="Cambria" w:hAnsi="Cambria"/>
        </w:rPr>
        <w:br/>
        <w:t xml:space="preserve">от 05 июня 2019 года № 2-63/2019, решение вступило в силу 05 июля 2019 года;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32. </w:t>
      </w:r>
      <w:r>
        <w:rPr>
          <w:rFonts w:ascii="Cambria" w:hAnsi="Cambria" w:cs="Times New Roman"/>
          <w:b/>
          <w:sz w:val="24"/>
          <w:szCs w:val="24"/>
        </w:rPr>
        <w:t xml:space="preserve">«Хайят Тахрираш-Шам»</w:t>
      </w:r>
      <w:r>
        <w:rPr>
          <w:rFonts w:ascii="Cambria" w:hAnsi="Cambria" w:cs="Times New Roman"/>
          <w:sz w:val="24"/>
          <w:szCs w:val="24"/>
        </w:rPr>
        <w:t xml:space="preserve"> («Организация освобождения Леванта», «Хайят Тахрираш-Шам», «Хейят Тахрираш-Шам», «Хейят Тахрир Аш-Шам», «ХайятТахриаш-Шам», «Тахрираш-Шам»), признана террористической организацией решением Верховный Суд Российской Федерации от 04 июня 2020 года.</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33. </w:t>
      </w:r>
      <w:r>
        <w:rPr>
          <w:rFonts w:ascii="Cambria" w:hAnsi="Cambria" w:cs="Times New Roman"/>
          <w:b/>
          <w:sz w:val="24"/>
          <w:szCs w:val="24"/>
        </w:rPr>
        <w:t xml:space="preserve">«Ахлю Сунна Валь Джамаа»</w:t>
      </w:r>
      <w:r>
        <w:rPr>
          <w:rFonts w:ascii="Cambria" w:hAnsi="Cambria" w:cs="Times New Roman"/>
          <w:sz w:val="24"/>
          <w:szCs w:val="24"/>
        </w:rPr>
        <w:t xml:space="preserve"> («Красноярский джамаат») признана террористической организацией решением Дальневосточного окружного военного суда от 30.09.2019 </w:t>
      </w:r>
      <w:r>
        <w:rPr>
          <w:rFonts w:ascii="Cambria" w:hAnsi="Cambria" w:cs="Times New Roman"/>
          <w:sz w:val="24"/>
          <w:szCs w:val="24"/>
        </w:rPr>
        <w:t xml:space="preserve">№ 1-21/2019, решение вступило в силу 05.07.2020. Решение вступило в силу 05.07.2020.</w:t>
      </w:r>
      <w:r/>
    </w:p>
    <w:p>
      <w:pPr>
        <w:ind w:firstLine="709"/>
        <w:jc w:val="both"/>
        <w:spacing w:lineRule="auto" w:line="240" w:after="0"/>
        <w:rPr>
          <w:rFonts w:ascii="Cambria" w:hAnsi="Cambria" w:cs="Times New Roman"/>
          <w:sz w:val="24"/>
          <w:szCs w:val="24"/>
        </w:rPr>
      </w:pPr>
      <w:r>
        <w:rPr>
          <w:rFonts w:ascii="Cambria" w:hAnsi="Cambria" w:cs="Times New Roman"/>
          <w:sz w:val="24"/>
          <w:szCs w:val="24"/>
        </w:rPr>
      </w:r>
      <w:r>
        <w:rPr>
          <w:rFonts w:ascii="Cambria" w:hAnsi="Cambria" w:cs="Times New Roman"/>
          <w:sz w:val="24"/>
          <w:szCs w:val="24"/>
        </w:rPr>
        <w:t xml:space="preserve">34. </w:t>
      </w:r>
      <w:r>
        <w:rPr>
          <w:rFonts w:ascii="Cambria" w:hAnsi="Cambria" w:cs="Times New Roman"/>
          <w:b w:val="false"/>
          <w:sz w:val="24"/>
          <w:szCs w:val="24"/>
        </w:rPr>
        <w:t xml:space="preserve">«National Socialism/White Power»</w:t>
      </w:r>
      <w:r>
        <w:rPr>
          <w:rFonts w:ascii="Cambria" w:hAnsi="Cambria" w:cs="Times New Roman"/>
          <w:sz w:val="24"/>
          <w:szCs w:val="24"/>
        </w:rPr>
        <w:t xml:space="preserve"> («NS/WP, NS/WP Crew, Sparrows Crew/White Power, Национал-социализм/Белая сила, власть») признана террористической организацией по решению Верховного суда Российской Федерации от 21.05.2021 № АКПИ21-343С, решение вступило в силу 25.06.2021.</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35. Террористическое сообщество, созданное Мальцевым В.В. из числа участников Межрегионального </w:t>
      </w:r>
      <w:r>
        <w:rPr>
          <w:rFonts w:ascii="Cambria" w:hAnsi="Cambria" w:cs="Times New Roman"/>
          <w:b/>
          <w:sz w:val="24"/>
          <w:szCs w:val="24"/>
        </w:rPr>
        <w:t xml:space="preserve">общественного движения «Артподготовка» </w:t>
      </w:r>
      <w:r>
        <w:rPr>
          <w:rFonts w:ascii="Cambria" w:hAnsi="Cambria" w:cs="Times New Roman"/>
          <w:sz w:val="24"/>
          <w:szCs w:val="24"/>
        </w:rPr>
        <w:t xml:space="preserve">признана террористической организацией по решению 2-го Западного окружного военного суда от 18.06.2020 № 2-7/2020, решение вступило в силу 07.06.2021.</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36. Религиозная группа </w:t>
      </w:r>
      <w:r>
        <w:rPr>
          <w:rFonts w:ascii="Cambria" w:hAnsi="Cambria" w:cs="Times New Roman"/>
          <w:b/>
          <w:sz w:val="24"/>
          <w:szCs w:val="24"/>
        </w:rPr>
        <w:t xml:space="preserve">«Джамаат «Красный пахарь»</w:t>
      </w:r>
      <w:r>
        <w:rPr>
          <w:rFonts w:ascii="Cambria" w:hAnsi="Cambria" w:cs="Times New Roman"/>
          <w:sz w:val="24"/>
          <w:szCs w:val="24"/>
        </w:rPr>
        <w:t xml:space="preserve"> признана террористической организацией по решению Красноглинского районного суда г. Самары от 16.07.2021 </w:t>
      </w:r>
      <w:r>
        <w:rPr>
          <w:rFonts w:ascii="Cambria" w:hAnsi="Cambria" w:cs="Times New Roman"/>
          <w:sz w:val="24"/>
          <w:szCs w:val="24"/>
        </w:rPr>
        <w:br/>
        <w:t xml:space="preserve">№ 2а-1667/2021, решение вступило в силу 31.08.2021.</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37. Международное молодежное </w:t>
      </w:r>
      <w:r>
        <w:rPr>
          <w:rFonts w:ascii="Cambria" w:hAnsi="Cambria" w:cs="Times New Roman"/>
          <w:b/>
          <w:sz w:val="24"/>
          <w:szCs w:val="24"/>
        </w:rPr>
        <w:t xml:space="preserve">движение «Колумбайн»</w:t>
      </w:r>
      <w:r>
        <w:rPr>
          <w:rFonts w:ascii="Cambria" w:hAnsi="Cambria" w:cs="Times New Roman"/>
          <w:sz w:val="24"/>
          <w:szCs w:val="24"/>
        </w:rPr>
        <w:t xml:space="preserve"> (другое используемое наименование «Скулшутинг») признано террористической организацией по решению Верховного суда Российской Федерации от 02.02.2022 № АКПИ21-1059С, решение вступило в силу 11.03.2022.</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38. Организация </w:t>
      </w:r>
      <w:r>
        <w:rPr>
          <w:rFonts w:ascii="Cambria" w:hAnsi="Cambria" w:cs="Times New Roman"/>
          <w:b/>
          <w:sz w:val="24"/>
          <w:szCs w:val="24"/>
        </w:rPr>
        <w:t xml:space="preserve">«Хатлонский джамаат»</w:t>
      </w:r>
      <w:r>
        <w:rPr>
          <w:rFonts w:ascii="Cambria" w:hAnsi="Cambria" w:cs="Times New Roman"/>
          <w:sz w:val="24"/>
          <w:szCs w:val="24"/>
        </w:rPr>
        <w:t xml:space="preserve"> признана террористической организацией по решению 2-го Западного окружного военного суда от 03.11.2021 № 2-165/2021, решение вступило в силу 24.01.2022. </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39. Мусульманская религиозная группа поселка Кушкуль </w:t>
      </w:r>
      <w:r>
        <w:rPr>
          <w:rFonts w:ascii="Cambria" w:hAnsi="Cambria" w:cs="Times New Roman"/>
          <w:b/>
          <w:sz w:val="24"/>
          <w:szCs w:val="24"/>
        </w:rPr>
        <w:t xml:space="preserve">(«Кушкульский джамаат»)</w:t>
      </w:r>
      <w:r>
        <w:rPr>
          <w:rFonts w:ascii="Cambria" w:hAnsi="Cambria" w:cs="Times New Roman"/>
          <w:sz w:val="24"/>
          <w:szCs w:val="24"/>
        </w:rPr>
        <w:t xml:space="preserve"> города Оренбурга признана террористической организацией по решению Оренбургского областного суда от 04.03.2022 № 3а-206/2022 (3а-2113/2021), решение вступило в силу 22.04.2022.</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40. </w:t>
      </w:r>
      <w:r>
        <w:rPr>
          <w:rFonts w:ascii="Cambria" w:hAnsi="Cambria" w:cs="Times New Roman"/>
          <w:b/>
          <w:sz w:val="24"/>
          <w:szCs w:val="24"/>
        </w:rPr>
        <w:t xml:space="preserve">«Крымско-татарский добровольческий батальон имени Номана Челебиджихана»</w:t>
      </w:r>
      <w:r>
        <w:rPr>
          <w:rFonts w:ascii="Cambria" w:hAnsi="Cambria" w:cs="Times New Roman"/>
          <w:sz w:val="24"/>
          <w:szCs w:val="24"/>
        </w:rPr>
        <w:t xml:space="preserve"> признан террористической организацией по решению Верховный Суд Российской Федерации от 01.06.2022 № АКПИ22-303С, решение вступило в силу 05.07.2022.</w:t>
      </w:r>
      <w:r/>
    </w:p>
    <w:p>
      <w:pPr>
        <w:ind w:firstLine="709"/>
        <w:jc w:val="both"/>
        <w:spacing w:lineRule="auto" w:line="240" w:after="0"/>
        <w:rPr>
          <w:rFonts w:ascii="Cambria" w:hAnsi="Cambria" w:cs="Times New Roman"/>
          <w:sz w:val="24"/>
          <w:szCs w:val="24"/>
        </w:rPr>
      </w:pPr>
      <w:r>
        <w:rPr>
          <w:rFonts w:ascii="Cambria" w:hAnsi="Cambria" w:cs="Times New Roman"/>
          <w:sz w:val="24"/>
          <w:szCs w:val="24"/>
        </w:rPr>
        <w:t xml:space="preserve">41. Украинское военизированное </w:t>
      </w:r>
      <w:r>
        <w:rPr>
          <w:rFonts w:ascii="Cambria" w:hAnsi="Cambria" w:cs="Times New Roman"/>
          <w:b/>
          <w:sz w:val="24"/>
          <w:szCs w:val="24"/>
        </w:rPr>
        <w:t xml:space="preserve">националистическое объединение «Азов» </w:t>
      </w:r>
      <w:r>
        <w:rPr>
          <w:rFonts w:ascii="Cambria" w:hAnsi="Cambria" w:cs="Times New Roman"/>
          <w:sz w:val="24"/>
          <w:szCs w:val="24"/>
        </w:rPr>
        <w:t xml:space="preserve">(другие используемые наименования: батальон «Азов», полк «Азов»), признано </w:t>
      </w:r>
      <w:r>
        <w:rPr>
          <w:rFonts w:ascii="Cambria" w:hAnsi="Cambria" w:cs="Times New Roman"/>
          <w:sz w:val="24"/>
          <w:szCs w:val="24"/>
        </w:rPr>
        <w:t xml:space="preserve">террористической организацией по решению Верховный Суд Российской Федерации от 02.08.2022 № АКПИ22-411С, решение вступило в силу 10.09.2022.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42. </w:t>
      </w:r>
      <w:r>
        <w:rPr>
          <w:rFonts w:ascii="Cambria" w:hAnsi="Cambria" w:cs="Times New Roman"/>
          <w:b/>
          <w:color w:val="000000"/>
          <w:sz w:val="24"/>
          <w:szCs w:val="24"/>
        </w:rPr>
        <w:t xml:space="preserve">Партия исламского возрождения Таджикистана (Республика Таджикистан) – ПИВТ </w:t>
      </w:r>
      <w:r>
        <w:rPr>
          <w:rFonts w:ascii="Cambria" w:hAnsi="Cambria" w:cs="Times New Roman"/>
          <w:color w:val="000000"/>
          <w:sz w:val="24"/>
          <w:szCs w:val="24"/>
        </w:rPr>
        <w:t xml:space="preserve">признана террористической организацией по решению Верховного Суда Российской Федерации, от 14.09.2022 № АКПИ22-680С, решение вступило в силу 18.10.2022.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43. Межрегиональное леворадикальное анархистское движение </w:t>
      </w:r>
      <w:r>
        <w:rPr>
          <w:rFonts w:ascii="Cambria" w:hAnsi="Cambria" w:cs="Times New Roman"/>
          <w:b/>
          <w:color w:val="000000"/>
          <w:sz w:val="24"/>
          <w:szCs w:val="24"/>
        </w:rPr>
        <w:t xml:space="preserve">«Народная самооборона» </w:t>
      </w:r>
      <w:r>
        <w:rPr>
          <w:rFonts w:ascii="Cambria" w:hAnsi="Cambria" w:cs="Times New Roman"/>
          <w:color w:val="000000"/>
          <w:sz w:val="24"/>
          <w:szCs w:val="24"/>
        </w:rPr>
        <w:t xml:space="preserve">признано террористической организацией по решению Челябинского областного суда от 12.09.2022 № 3а-237/2022, решение вступило в силу 18.10.2022.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44. Террористическое сообщество </w:t>
      </w:r>
      <w:r>
        <w:rPr>
          <w:rFonts w:ascii="Cambria" w:hAnsi="Cambria" w:cs="Times New Roman"/>
          <w:b/>
          <w:color w:val="000000"/>
          <w:sz w:val="24"/>
          <w:szCs w:val="24"/>
        </w:rPr>
        <w:t xml:space="preserve">«Дуббайский джамаат</w:t>
      </w:r>
      <w:r>
        <w:rPr>
          <w:rFonts w:ascii="Cambria" w:hAnsi="Cambria" w:cs="Times New Roman"/>
          <w:color w:val="000000"/>
          <w:sz w:val="24"/>
          <w:szCs w:val="24"/>
        </w:rPr>
        <w:t xml:space="preserve">» признано террористической организацией по решению 2-го Западного окружного военного суда, от 12.07.2022 № 2-121/2022, решение вступило в силу 26.09.2022.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45.Террористическое сообщество – </w:t>
      </w:r>
      <w:r>
        <w:rPr>
          <w:rFonts w:ascii="Cambria" w:hAnsi="Cambria" w:cs="Times New Roman"/>
          <w:b/>
          <w:color w:val="000000"/>
          <w:sz w:val="24"/>
          <w:szCs w:val="24"/>
        </w:rPr>
        <w:t xml:space="preserve">«Московская ячейка» МТО «ИГ»</w:t>
      </w:r>
      <w:r>
        <w:rPr>
          <w:rFonts w:ascii="Cambria" w:hAnsi="Cambria" w:cs="Times New Roman"/>
          <w:sz w:val="24"/>
          <w:szCs w:val="24"/>
        </w:rPr>
        <w:t xml:space="preserve">признано террористической организацией по решению</w:t>
      </w:r>
      <w:r>
        <w:rPr>
          <w:rFonts w:ascii="Cambria" w:hAnsi="Cambria" w:cs="Times New Roman"/>
          <w:color w:val="000000"/>
          <w:sz w:val="24"/>
          <w:szCs w:val="24"/>
        </w:rPr>
        <w:t xml:space="preserve">2-го Западного окружного военного суда, от 17.05.2022 № 2-41/2022, решение вступило в силу 21.12.2022.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46. Боевое крыло группы (вирда) последователей (мюридов, мурдов) </w:t>
      </w:r>
      <w:r>
        <w:rPr>
          <w:rFonts w:ascii="Cambria" w:hAnsi="Cambria" w:cs="Times New Roman"/>
          <w:b/>
          <w:color w:val="000000"/>
          <w:sz w:val="24"/>
          <w:szCs w:val="24"/>
        </w:rPr>
        <w:t xml:space="preserve">религиозного течения Батал-Хаджи Белхороева</w:t>
      </w:r>
      <w:r>
        <w:rPr>
          <w:rFonts w:ascii="Cambria" w:hAnsi="Cambria" w:cs="Times New Roman"/>
          <w:color w:val="000000"/>
          <w:sz w:val="24"/>
          <w:szCs w:val="24"/>
        </w:rPr>
        <w:t xml:space="preserve"> (Батал-Хаджи, баталхаджинцев, белхороевцев, тариката шейха овлия (устаза) Батал-Хаджи Белхороева) признано террористической организацией по решению Южного окружного военного суда, от 28.11.2022 № 1-215/2022, решение вступило в силу 16.12.2022.</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47. Международное движение </w:t>
      </w:r>
      <w:r>
        <w:rPr>
          <w:rFonts w:ascii="Cambria" w:hAnsi="Cambria" w:cs="Times New Roman"/>
          <w:b/>
          <w:color w:val="000000"/>
          <w:sz w:val="24"/>
          <w:szCs w:val="24"/>
        </w:rPr>
        <w:t xml:space="preserve">«Маньяки Культ Убийц»</w:t>
      </w:r>
      <w:r>
        <w:rPr>
          <w:rFonts w:ascii="Cambria" w:hAnsi="Cambria" w:cs="Times New Roman"/>
          <w:color w:val="000000"/>
          <w:sz w:val="24"/>
          <w:szCs w:val="24"/>
        </w:rPr>
        <w:t xml:space="preserve"> (другие используемые наименования «Маньяки Культ Убийств», «Молодёжь Которая Улыбается», М.К.У.)признано террористической организацией по решению Верховного Суда Российской Федерации от 16.01.2023 № АКПИ22-1227С, решение вступило в силу 21.02.2023.</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t xml:space="preserve">48. Украинское военизи</w:t>
      </w:r>
      <w:r>
        <w:rPr>
          <w:rFonts w:ascii="Cambria" w:hAnsi="Cambria" w:cs="Times New Roman"/>
          <w:color w:val="000000"/>
          <w:sz w:val="24"/>
          <w:szCs w:val="24"/>
        </w:rPr>
        <w:t xml:space="preserve">рованное объединение Легион «Свобода России» (другое используемое наименование «Легион Свобода России») признано террористической организацией по решению Верховного Суда Российской Федерации, от 16.03.2023 № АКПИ23-101С, решение вступило в силу 25.04.2023.</w:t>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r>
      <w:r/>
    </w:p>
    <w:p>
      <w:pPr>
        <w:ind w:firstLine="709"/>
        <w:jc w:val="both"/>
        <w:spacing w:lineRule="auto" w:line="240" w:after="0"/>
        <w:rPr>
          <w:rFonts w:ascii="Cambria" w:hAnsi="Cambria" w:cs="Times New Roman"/>
          <w:color w:val="000000"/>
          <w:sz w:val="24"/>
          <w:szCs w:val="24"/>
        </w:rPr>
      </w:pPr>
      <w:r>
        <w:rPr>
          <w:rFonts w:ascii="Cambria" w:hAnsi="Cambria" w:cs="Times New Roman"/>
          <w:color w:val="000000"/>
          <w:sz w:val="24"/>
          <w:szCs w:val="24"/>
        </w:rPr>
      </w:r>
      <w:r/>
    </w:p>
    <w:p>
      <w:pPr>
        <w:rPr>
          <w:rFonts w:ascii="Cambria" w:hAnsi="Cambria" w:cs="Times New Roman" w:eastAsia="Times New Roman"/>
          <w:color w:val="000000"/>
          <w:sz w:val="24"/>
          <w:szCs w:val="24"/>
          <w:lang w:eastAsia="ru-RU"/>
        </w:rPr>
      </w:pPr>
      <w:r>
        <w:rPr>
          <w:rFonts w:ascii="Cambria" w:hAnsi="Cambria"/>
          <w:color w:val="000000"/>
        </w:rPr>
        <w:br w:type="page"/>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pStyle w:val="575"/>
        <w:ind w:firstLine="709"/>
        <w:jc w:val="center"/>
        <w:spacing w:after="0" w:afterAutospacing="0" w:before="0" w:beforeAutospacing="0"/>
        <w:shd w:val="clear" w:color="auto" w:fill="FFFFFF"/>
        <w:rPr>
          <w:rFonts w:ascii="Cambria" w:hAnsi="Cambria"/>
          <w:color w:val="000000"/>
        </w:rPr>
      </w:pPr>
      <w:r>
        <w:rPr>
          <w:rFonts w:ascii="Cambria" w:hAnsi="Cambria"/>
          <w:color w:val="000000"/>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r>
      <w:r/>
    </w:p>
    <w:p>
      <w:pPr>
        <w:jc w:val="center"/>
        <w:spacing w:lineRule="auto" w:line="240" w:after="0"/>
        <w:rPr>
          <w:rFonts w:ascii="Cambria" w:hAnsi="Cambria" w:cs="Times New Roman"/>
          <w:b/>
          <w:bCs/>
          <w:sz w:val="28"/>
          <w:szCs w:val="28"/>
        </w:rPr>
      </w:pPr>
      <w:r>
        <w:rPr>
          <w:rFonts w:ascii="Cambria" w:hAnsi="Cambria" w:cs="Times New Roman"/>
          <w:b/>
          <w:bCs/>
          <w:sz w:val="28"/>
          <w:szCs w:val="28"/>
        </w:rPr>
        <w:t xml:space="preserve">Государственная программа Алтайского края</w:t>
      </w:r>
      <w:r/>
    </w:p>
    <w:p>
      <w:pPr>
        <w:pStyle w:val="575"/>
        <w:jc w:val="center"/>
        <w:spacing w:after="0" w:afterAutospacing="0" w:before="0" w:beforeAutospacing="0"/>
        <w:shd w:val="clear" w:color="auto" w:fill="FFFFFF"/>
        <w:rPr>
          <w:rFonts w:ascii="Cambria" w:hAnsi="Cambria"/>
          <w:color w:val="000000"/>
        </w:rPr>
      </w:pPr>
      <w:r>
        <w:rPr>
          <w:rFonts w:ascii="Cambria" w:hAnsi="Cambria"/>
          <w:b/>
          <w:bCs/>
          <w:sz w:val="28"/>
          <w:szCs w:val="28"/>
        </w:rPr>
        <w:t xml:space="preserve">«Противодействие экстремизму и идеологии терроризма </w:t>
      </w:r>
      <w:r>
        <w:rPr>
          <w:rFonts w:ascii="Cambria" w:hAnsi="Cambria"/>
          <w:b/>
          <w:bCs/>
          <w:sz w:val="28"/>
          <w:szCs w:val="28"/>
        </w:rPr>
        <w:br/>
        <w:t xml:space="preserve">в Алтайском крае»</w:t>
      </w:r>
      <w:r/>
    </w:p>
    <w:sectPr>
      <w:headerReference w:type="default" r:id="rId8"/>
      <w:footnotePr/>
      <w:type w:val="nextPage"/>
      <w:pgSz w:w="11906" w:h="16838" w:orient="portrait"/>
      <w:pgMar w:top="1134" w:right="1134" w:bottom="993" w:left="1134" w:header="567" w:footer="709"/>
      <w:cols w:num="1" w:sep="0" w:space="708" w:equalWidth="1"/>
      <w:docGrid w:linePitch="36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font>
  <w:font w:name="PT Astra Serif">
    <w:panose1 w:val="020A0703040505020204"/>
  </w:font>
  <w:font w:name="Tahoma">
    <w:panose1 w:val="020B0604030504040204"/>
  </w:font>
  <w:font w:name="Times New Roman">
    <w:panose1 w:val="02020603050405020304"/>
  </w:font>
  <w:font w:name="Cambria-Bold">
    <w:panose1 w:val="020A0703040505020204"/>
  </w:font>
  <w:font w:name="Cambria">
    <w:panose1 w:val="02040503050406030204"/>
  </w:font>
  <w:font w:name="Arial">
    <w:panose1 w:val="020B0604020202020204"/>
  </w:font>
  <w:font w:name="Calibri">
    <w:panose1 w:val="020F0502020204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0441313"/>
      <w:docPartObj>
        <w:docPartGallery w:val="Page Numbers (Top of Page)"/>
        <w:docPartUnique w:val="true"/>
      </w:docPartObj>
    </w:sdtPr>
    <w:sdtContent>
      <w:p>
        <w:pPr>
          <w:pStyle w:val="565"/>
          <w:jc w:val="center"/>
        </w:pPr>
        <w:fldSimple w:instr="PAGE \* MERGEFORMAT">
          <w:r>
            <w:t xml:space="preserve">1</w:t>
          </w:r>
        </w:fldSimple>
        <w:r/>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644"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true"/>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hAnsi="Calibri" w:cs="Calibri" w:eastAsia="Calibri"/>
        <w:color w:val="auto"/>
        <w:spacing w:val="0"/>
        <w:position w:val="0"/>
        <w:sz w:val="22"/>
        <w:szCs w:val="22"/>
        <w:lang w:val="ru-RU" w:bidi="ar-SA" w:eastAsia="en-US"/>
      </w:rPr>
    </w:rPrDefault>
    <w:pPrDefault>
      <w:pPr>
        <w:ind w:left="0" w:right="0" w:firstLine="0"/>
        <w:jc w:val="left"/>
        <w:spacing w:lineRule="auto" w:line="276" w:after="20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388">
    <w:name w:val="Title Char"/>
    <w:basedOn w:val="394"/>
    <w:link w:val="414"/>
    <w:uiPriority w:val="10"/>
    <w:rPr>
      <w:sz w:val="48"/>
      <w:szCs w:val="48"/>
    </w:rPr>
  </w:style>
  <w:style w:type="character" w:styleId="389">
    <w:name w:val="Subtitle Char"/>
    <w:basedOn w:val="394"/>
    <w:link w:val="416"/>
    <w:uiPriority w:val="11"/>
    <w:rPr>
      <w:sz w:val="24"/>
      <w:szCs w:val="24"/>
    </w:rPr>
  </w:style>
  <w:style w:type="character" w:styleId="390">
    <w:name w:val="Quote Char"/>
    <w:link w:val="418"/>
    <w:uiPriority w:val="29"/>
    <w:rPr>
      <w:i/>
    </w:rPr>
  </w:style>
  <w:style w:type="character" w:styleId="391">
    <w:name w:val="Intense Quote Char"/>
    <w:link w:val="420"/>
    <w:uiPriority w:val="30"/>
    <w:rPr>
      <w:i/>
    </w:rPr>
  </w:style>
  <w:style w:type="character" w:styleId="392">
    <w:name w:val="Footnote Text Char"/>
    <w:link w:val="549"/>
    <w:uiPriority w:val="99"/>
    <w:rPr>
      <w:sz w:val="18"/>
    </w:rPr>
  </w:style>
  <w:style w:type="paragraph" w:styleId="393" w:default="1">
    <w:name w:val="Normal"/>
    <w:qFormat/>
  </w:style>
  <w:style w:type="character" w:styleId="394" w:default="1">
    <w:name w:val="Default Paragraph Font"/>
    <w:uiPriority w:val="1"/>
    <w:semiHidden/>
    <w:unhideWhenUsed/>
  </w:style>
  <w:style w:type="table" w:styleId="395" w:default="1">
    <w:name w:val="Normal Table"/>
    <w:qFormat/>
    <w:uiPriority w:val="99"/>
    <w:semiHidden/>
    <w:unhideWhenUsed/>
    <w:tblPr>
      <w:tblInd w:w="0" w:type="dxa"/>
      <w:tblCellMar>
        <w:left w:w="108" w:type="dxa"/>
        <w:top w:w="0" w:type="dxa"/>
        <w:right w:w="108" w:type="dxa"/>
        <w:bottom w:w="0" w:type="dxa"/>
      </w:tblCellMar>
    </w:tblPr>
  </w:style>
  <w:style w:type="numbering" w:styleId="396" w:default="1">
    <w:name w:val="No List"/>
    <w:uiPriority w:val="99"/>
    <w:semiHidden/>
    <w:unhideWhenUsed/>
  </w:style>
  <w:style w:type="character" w:styleId="397" w:customStyle="1">
    <w:name w:val="Heading 1 Char"/>
    <w:basedOn w:val="394"/>
    <w:link w:val="562"/>
    <w:uiPriority w:val="9"/>
    <w:rPr>
      <w:rFonts w:ascii="Arial" w:hAnsi="Arial" w:cs="Arial" w:eastAsia="Arial"/>
      <w:sz w:val="40"/>
      <w:szCs w:val="40"/>
    </w:rPr>
  </w:style>
  <w:style w:type="paragraph" w:styleId="398" w:customStyle="1">
    <w:name w:val="Heading 2"/>
    <w:basedOn w:val="393"/>
    <w:next w:val="393"/>
    <w:link w:val="399"/>
    <w:qFormat/>
    <w:uiPriority w:val="9"/>
    <w:unhideWhenUsed/>
    <w:rPr>
      <w:rFonts w:ascii="Arial" w:hAnsi="Arial" w:cs="Arial" w:eastAsia="Arial"/>
      <w:sz w:val="34"/>
    </w:rPr>
    <w:pPr>
      <w:keepLines/>
      <w:keepNext/>
      <w:spacing w:before="360"/>
      <w:outlineLvl w:val="1"/>
    </w:pPr>
  </w:style>
  <w:style w:type="character" w:styleId="399" w:customStyle="1">
    <w:name w:val="Heading 2 Char"/>
    <w:basedOn w:val="394"/>
    <w:link w:val="398"/>
    <w:uiPriority w:val="9"/>
    <w:rPr>
      <w:rFonts w:ascii="Arial" w:hAnsi="Arial" w:cs="Arial" w:eastAsia="Arial"/>
      <w:sz w:val="34"/>
    </w:rPr>
  </w:style>
  <w:style w:type="character" w:styleId="400" w:customStyle="1">
    <w:name w:val="Heading 3 Char"/>
    <w:basedOn w:val="394"/>
    <w:link w:val="563"/>
    <w:uiPriority w:val="9"/>
    <w:rPr>
      <w:rFonts w:ascii="Arial" w:hAnsi="Arial" w:cs="Arial" w:eastAsia="Arial"/>
      <w:sz w:val="30"/>
      <w:szCs w:val="30"/>
    </w:rPr>
  </w:style>
  <w:style w:type="character" w:styleId="401" w:customStyle="1">
    <w:name w:val="Heading 4 Char"/>
    <w:basedOn w:val="394"/>
    <w:link w:val="564"/>
    <w:uiPriority w:val="9"/>
    <w:rPr>
      <w:rFonts w:ascii="Arial" w:hAnsi="Arial" w:cs="Arial" w:eastAsia="Arial"/>
      <w:b/>
      <w:bCs/>
      <w:sz w:val="26"/>
      <w:szCs w:val="26"/>
    </w:rPr>
  </w:style>
  <w:style w:type="paragraph" w:styleId="402" w:customStyle="1">
    <w:name w:val="Heading 5"/>
    <w:basedOn w:val="393"/>
    <w:next w:val="393"/>
    <w:link w:val="403"/>
    <w:qFormat/>
    <w:uiPriority w:val="9"/>
    <w:unhideWhenUsed/>
    <w:rPr>
      <w:rFonts w:ascii="Arial" w:hAnsi="Arial" w:cs="Arial" w:eastAsia="Arial"/>
      <w:b/>
      <w:bCs/>
      <w:sz w:val="24"/>
      <w:szCs w:val="24"/>
    </w:rPr>
    <w:pPr>
      <w:keepLines/>
      <w:keepNext/>
      <w:spacing w:before="320"/>
      <w:outlineLvl w:val="4"/>
    </w:pPr>
  </w:style>
  <w:style w:type="character" w:styleId="403" w:customStyle="1">
    <w:name w:val="Heading 5 Char"/>
    <w:basedOn w:val="394"/>
    <w:link w:val="402"/>
    <w:uiPriority w:val="9"/>
    <w:rPr>
      <w:rFonts w:ascii="Arial" w:hAnsi="Arial" w:cs="Arial" w:eastAsia="Arial"/>
      <w:b/>
      <w:bCs/>
      <w:sz w:val="24"/>
      <w:szCs w:val="24"/>
    </w:rPr>
  </w:style>
  <w:style w:type="paragraph" w:styleId="404" w:customStyle="1">
    <w:name w:val="Heading 6"/>
    <w:basedOn w:val="393"/>
    <w:next w:val="393"/>
    <w:link w:val="405"/>
    <w:qFormat/>
    <w:uiPriority w:val="9"/>
    <w:unhideWhenUsed/>
    <w:rPr>
      <w:rFonts w:ascii="Arial" w:hAnsi="Arial" w:cs="Arial" w:eastAsia="Arial"/>
      <w:b/>
      <w:bCs/>
    </w:rPr>
    <w:pPr>
      <w:keepLines/>
      <w:keepNext/>
      <w:spacing w:before="320"/>
      <w:outlineLvl w:val="5"/>
    </w:pPr>
  </w:style>
  <w:style w:type="character" w:styleId="405" w:customStyle="1">
    <w:name w:val="Heading 6 Char"/>
    <w:basedOn w:val="394"/>
    <w:link w:val="404"/>
    <w:uiPriority w:val="9"/>
    <w:rPr>
      <w:rFonts w:ascii="Arial" w:hAnsi="Arial" w:cs="Arial" w:eastAsia="Arial"/>
      <w:b/>
      <w:bCs/>
      <w:sz w:val="22"/>
      <w:szCs w:val="22"/>
    </w:rPr>
  </w:style>
  <w:style w:type="paragraph" w:styleId="406" w:customStyle="1">
    <w:name w:val="Heading 7"/>
    <w:basedOn w:val="393"/>
    <w:next w:val="393"/>
    <w:link w:val="407"/>
    <w:qFormat/>
    <w:uiPriority w:val="9"/>
    <w:unhideWhenUsed/>
    <w:rPr>
      <w:rFonts w:ascii="Arial" w:hAnsi="Arial" w:cs="Arial" w:eastAsia="Arial"/>
      <w:b/>
      <w:bCs/>
      <w:i/>
      <w:iCs/>
    </w:rPr>
    <w:pPr>
      <w:keepLines/>
      <w:keepNext/>
      <w:spacing w:before="320"/>
      <w:outlineLvl w:val="6"/>
    </w:pPr>
  </w:style>
  <w:style w:type="character" w:styleId="407" w:customStyle="1">
    <w:name w:val="Heading 7 Char"/>
    <w:basedOn w:val="394"/>
    <w:link w:val="406"/>
    <w:uiPriority w:val="9"/>
    <w:rPr>
      <w:rFonts w:ascii="Arial" w:hAnsi="Arial" w:cs="Arial" w:eastAsia="Arial"/>
      <w:b/>
      <w:bCs/>
      <w:i/>
      <w:iCs/>
      <w:sz w:val="22"/>
      <w:szCs w:val="22"/>
    </w:rPr>
  </w:style>
  <w:style w:type="paragraph" w:styleId="408" w:customStyle="1">
    <w:name w:val="Heading 8"/>
    <w:basedOn w:val="393"/>
    <w:next w:val="393"/>
    <w:link w:val="409"/>
    <w:qFormat/>
    <w:uiPriority w:val="9"/>
    <w:unhideWhenUsed/>
    <w:rPr>
      <w:rFonts w:ascii="Arial" w:hAnsi="Arial" w:cs="Arial" w:eastAsia="Arial"/>
      <w:i/>
      <w:iCs/>
    </w:rPr>
    <w:pPr>
      <w:keepLines/>
      <w:keepNext/>
      <w:spacing w:before="320"/>
      <w:outlineLvl w:val="7"/>
    </w:pPr>
  </w:style>
  <w:style w:type="character" w:styleId="409" w:customStyle="1">
    <w:name w:val="Heading 8 Char"/>
    <w:basedOn w:val="394"/>
    <w:link w:val="408"/>
    <w:uiPriority w:val="9"/>
    <w:rPr>
      <w:rFonts w:ascii="Arial" w:hAnsi="Arial" w:cs="Arial" w:eastAsia="Arial"/>
      <w:i/>
      <w:iCs/>
      <w:sz w:val="22"/>
      <w:szCs w:val="22"/>
    </w:rPr>
  </w:style>
  <w:style w:type="paragraph" w:styleId="410" w:customStyle="1">
    <w:name w:val="Heading 9"/>
    <w:basedOn w:val="393"/>
    <w:next w:val="393"/>
    <w:link w:val="411"/>
    <w:qFormat/>
    <w:uiPriority w:val="9"/>
    <w:unhideWhenUsed/>
    <w:rPr>
      <w:rFonts w:ascii="Arial" w:hAnsi="Arial" w:cs="Arial" w:eastAsia="Arial"/>
      <w:i/>
      <w:iCs/>
      <w:sz w:val="21"/>
      <w:szCs w:val="21"/>
    </w:rPr>
    <w:pPr>
      <w:keepLines/>
      <w:keepNext/>
      <w:spacing w:before="320"/>
      <w:outlineLvl w:val="8"/>
    </w:pPr>
  </w:style>
  <w:style w:type="character" w:styleId="411" w:customStyle="1">
    <w:name w:val="Heading 9 Char"/>
    <w:basedOn w:val="394"/>
    <w:link w:val="410"/>
    <w:uiPriority w:val="9"/>
    <w:rPr>
      <w:rFonts w:ascii="Arial" w:hAnsi="Arial" w:cs="Arial" w:eastAsia="Arial"/>
      <w:i/>
      <w:iCs/>
      <w:sz w:val="21"/>
      <w:szCs w:val="21"/>
    </w:rPr>
  </w:style>
  <w:style w:type="paragraph" w:styleId="412">
    <w:name w:val="List Paragraph"/>
    <w:basedOn w:val="393"/>
    <w:qFormat/>
    <w:uiPriority w:val="34"/>
    <w:pPr>
      <w:contextualSpacing w:val="true"/>
      <w:ind w:left="720"/>
    </w:pPr>
  </w:style>
  <w:style w:type="paragraph" w:styleId="413">
    <w:name w:val="No Spacing"/>
    <w:qFormat/>
    <w:uiPriority w:val="1"/>
    <w:pPr>
      <w:spacing w:lineRule="auto" w:line="240" w:after="0"/>
    </w:pPr>
  </w:style>
  <w:style w:type="paragraph" w:styleId="414">
    <w:name w:val="Title"/>
    <w:basedOn w:val="393"/>
    <w:next w:val="393"/>
    <w:link w:val="415"/>
    <w:qFormat/>
    <w:uiPriority w:val="10"/>
    <w:rPr>
      <w:sz w:val="48"/>
      <w:szCs w:val="48"/>
    </w:rPr>
    <w:pPr>
      <w:contextualSpacing w:val="true"/>
      <w:spacing w:before="300"/>
    </w:pPr>
  </w:style>
  <w:style w:type="character" w:styleId="415" w:customStyle="1">
    <w:name w:val="Название Знак"/>
    <w:basedOn w:val="394"/>
    <w:link w:val="414"/>
    <w:uiPriority w:val="10"/>
    <w:rPr>
      <w:sz w:val="48"/>
      <w:szCs w:val="48"/>
    </w:rPr>
  </w:style>
  <w:style w:type="paragraph" w:styleId="416">
    <w:name w:val="Subtitle"/>
    <w:basedOn w:val="393"/>
    <w:next w:val="393"/>
    <w:link w:val="417"/>
    <w:qFormat/>
    <w:uiPriority w:val="11"/>
    <w:rPr>
      <w:sz w:val="24"/>
      <w:szCs w:val="24"/>
    </w:rPr>
    <w:pPr>
      <w:spacing w:before="200"/>
    </w:pPr>
  </w:style>
  <w:style w:type="character" w:styleId="417" w:customStyle="1">
    <w:name w:val="Подзаголовок Знак"/>
    <w:basedOn w:val="394"/>
    <w:link w:val="416"/>
    <w:uiPriority w:val="11"/>
    <w:rPr>
      <w:sz w:val="24"/>
      <w:szCs w:val="24"/>
    </w:rPr>
  </w:style>
  <w:style w:type="paragraph" w:styleId="418">
    <w:name w:val="Quote"/>
    <w:basedOn w:val="393"/>
    <w:next w:val="393"/>
    <w:link w:val="419"/>
    <w:qFormat/>
    <w:uiPriority w:val="29"/>
    <w:rPr>
      <w:i/>
    </w:rPr>
    <w:pPr>
      <w:ind w:left="720" w:right="720"/>
    </w:pPr>
  </w:style>
  <w:style w:type="character" w:styleId="419" w:customStyle="1">
    <w:name w:val="Цитата 2 Знак"/>
    <w:link w:val="418"/>
    <w:uiPriority w:val="29"/>
    <w:rPr>
      <w:i/>
    </w:rPr>
  </w:style>
  <w:style w:type="paragraph" w:styleId="420">
    <w:name w:val="Intense Quote"/>
    <w:basedOn w:val="393"/>
    <w:next w:val="393"/>
    <w:link w:val="421"/>
    <w:qFormat/>
    <w:uiPriority w:val="30"/>
    <w:rPr>
      <w:i/>
    </w:rPr>
    <w:pPr>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421" w:customStyle="1">
    <w:name w:val="Выделенная цитата Знак"/>
    <w:link w:val="420"/>
    <w:uiPriority w:val="30"/>
    <w:rPr>
      <w:i/>
    </w:rPr>
  </w:style>
  <w:style w:type="character" w:styleId="422" w:customStyle="1">
    <w:name w:val="Header Char"/>
    <w:basedOn w:val="394"/>
    <w:link w:val="565"/>
    <w:uiPriority w:val="99"/>
  </w:style>
  <w:style w:type="character" w:styleId="423" w:customStyle="1">
    <w:name w:val="Footer Char"/>
    <w:basedOn w:val="394"/>
    <w:link w:val="567"/>
    <w:uiPriority w:val="99"/>
  </w:style>
  <w:style w:type="table" w:styleId="424" w:customStyle="1">
    <w:name w:val="Table Grid Light"/>
    <w:basedOn w:val="395"/>
    <w:uiPriority w:val="59"/>
    <w:pPr>
      <w:spacing w:lineRule="auto" w:line="240" w:after="0"/>
    </w:pPr>
    <w:tblPr>
      <w:tblInd w:w="0" w:type="dxa"/>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CellMar>
        <w:left w:w="108" w:type="dxa"/>
        <w:top w:w="0" w:type="dxa"/>
        <w:right w:w="108" w:type="dxa"/>
        <w:bottom w:w="0" w:type="dxa"/>
      </w:tblCellMar>
    </w:tblPr>
  </w:style>
  <w:style w:type="table" w:styleId="425" w:customStyle="1">
    <w:name w:val="Plain Table 1"/>
    <w:basedOn w:val="395"/>
    <w:uiPriority w:val="59"/>
    <w:pPr>
      <w:spacing w:lineRule="auto" w:line="240" w:after="0"/>
    </w:pPr>
    <w:tblPr>
      <w:tblInd w:w="0" w:type="dxa"/>
      <w:tblBorders>
        <w:left w:val="single" w:color="AFAFAF" w:sz="4" w:space="0" w:themeColor="text1" w:themeTint="50"/>
        <w:top w:val="single" w:color="AFAFAF" w:sz="4" w:space="0" w:themeColor="text1" w:themeTint="50"/>
        <w:right w:val="single" w:color="AFAFAF" w:sz="4" w:space="0" w:themeColor="text1" w:themeTint="50"/>
        <w:bottom w:val="single" w:color="AFAFAF" w:sz="4" w:space="0" w:themeColor="text1" w:themeTint="50"/>
        <w:insideV w:val="single" w:color="AFAFAF" w:sz="4" w:space="0" w:themeColor="text1" w:themeTint="50"/>
        <w:insideH w:val="single" w:color="AFAFAF" w:sz="4" w:space="0" w:themeColor="text1" w:themeTint="50"/>
      </w:tblBorders>
      <w:tblCellMar>
        <w:left w:w="108" w:type="dxa"/>
        <w:top w:w="0" w:type="dxa"/>
        <w:right w:w="108" w:type="dxa"/>
        <w:bottom w:w="0" w:type="dxa"/>
      </w:tblCellMar>
    </w:tblPr>
    <w:tblStylePr w:type="band1Horz">
      <w:tcPr>
        <w:shd w:val="clear" w:color="auto" w:fill="F2F2F2" w:themeFill="text1" w:themeFillTint="00"/>
      </w:tcPr>
    </w:tblStylePr>
    <w:tblStylePr w:type="band1Vert">
      <w:tcPr>
        <w:shd w:val="clear" w:color="auto" w:fill="F2F2F2" w:themeFill="text1" w:themeFillTint="00"/>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26" w:customStyle="1">
    <w:name w:val="Plain Table 2"/>
    <w:basedOn w:val="39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27" w:customStyle="1">
    <w:name w:val="Plain Table 3"/>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auto" w:fill="F2F2F2" w:themeFill="text1" w:themeFillTint="00"/>
      </w:tcPr>
    </w:tblStylePr>
    <w:tblStylePr w:type="band1Vert">
      <w:rPr>
        <w:rFonts w:ascii="Arial" w:hAnsi="Arial"/>
        <w:color w:val="404040"/>
        <w:sz w:val="22"/>
      </w:rPr>
      <w:tcPr>
        <w:shd w:val="clear" w:color="auto" w:fill="F2F2F2" w:themeFill="text1" w:themeFillTint="00"/>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28" w:customStyle="1">
    <w:name w:val="Plain Table 4"/>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auto" w:fill="F2F2F2" w:themeFill="text1" w:themeFillTint="00"/>
      </w:tcPr>
    </w:tblStylePr>
    <w:tblStylePr w:type="band1Vert">
      <w:rPr>
        <w:rFonts w:ascii="Arial" w:hAnsi="Arial"/>
        <w:color w:val="404040"/>
        <w:sz w:val="22"/>
      </w:rPr>
      <w:tcPr>
        <w:shd w:val="clear" w:color="auto" w:fill="F2F2F2"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429" w:customStyle="1">
    <w:name w:val="Plain Table 5"/>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cPr>
        <w:shd w:val="clear" w:color="auto" w:fill="F2F2F2" w:themeFill="text1" w:themeFillTint="00"/>
      </w:tcPr>
    </w:tblStylePr>
    <w:tblStylePr w:type="band1Vert">
      <w:rPr>
        <w:rFonts w:ascii="Arial" w:hAnsi="Arial"/>
        <w:color w:val="404040"/>
        <w:sz w:val="22"/>
      </w:rPr>
      <w:tcPr>
        <w:shd w:val="clear" w:color="auto" w:fill="F2F2F2" w:themeFill="text1" w:themeFillTint="00"/>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430" w:customStyle="1">
    <w:name w:val="Grid Table 1 Light"/>
    <w:basedOn w:val="395"/>
    <w:uiPriority w:val="99"/>
    <w:pPr>
      <w:spacing w:lineRule="auto" w:line="240" w:after="0"/>
    </w:pPr>
    <w:tblPr>
      <w:tblStyleRowBandSize w:val="1"/>
      <w:tblStyleColBandSize w:val="1"/>
      <w:tblInd w:w="0" w:type="dxa"/>
      <w:tblBorders>
        <w:left w:val="single" w:color="989898" w:sz="4" w:space="0" w:themeColor="text1" w:themeTint="67"/>
        <w:top w:val="single" w:color="989898" w:sz="4" w:space="0" w:themeColor="text1" w:themeTint="67"/>
        <w:right w:val="single" w:color="989898" w:sz="4" w:space="0" w:themeColor="text1" w:themeTint="67"/>
        <w:bottom w:val="single" w:color="989898" w:sz="4" w:space="0" w:themeColor="text1" w:themeTint="67"/>
        <w:insideV w:val="single" w:color="989898" w:sz="4" w:space="0" w:themeColor="text1" w:themeTint="67"/>
        <w:insideH w:val="single" w:color="989898" w:sz="4" w:space="0" w:themeColor="text1" w:themeTint="67"/>
      </w:tblBorders>
      <w:tblCellMar>
        <w:left w:w="108" w:type="dxa"/>
        <w:top w:w="0" w:type="dxa"/>
        <w:right w:w="108" w:type="dxa"/>
        <w:bottom w:w="0" w:type="dxa"/>
      </w:tblCellMar>
    </w:tblPr>
    <w:tblStylePr w:type="band1Horz">
      <w:rPr>
        <w:rFonts w:ascii="Arial" w:hAnsi="Arial"/>
        <w:color w:val="404040"/>
        <w:sz w:val="22"/>
      </w:rPr>
      <w:tcPr>
        <w:tcBorders>
          <w:left w:val="single" w:color="989898" w:sz="4" w:space="0" w:themeColor="text1" w:themeTint="67"/>
          <w:top w:val="single" w:color="989898" w:sz="4" w:space="0" w:themeColor="text1" w:themeTint="67"/>
          <w:right w:val="single" w:color="989898" w:sz="4" w:space="0" w:themeColor="text1" w:themeTint="67"/>
          <w:bottom w:val="single" w:color="989898" w:sz="4" w:space="0" w:themeColor="text1" w:themeTint="67"/>
        </w:tcBorders>
      </w:tcPr>
    </w:tblStylePr>
    <w:tblStylePr w:type="firstCol">
      <w:rPr>
        <w:b/>
        <w:color w:val="404040"/>
      </w:rPr>
    </w:tblStylePr>
    <w:tblStylePr w:type="firstRow">
      <w:rPr>
        <w:b/>
        <w:color w:val="404040"/>
      </w:rPr>
      <w:tcPr>
        <w:tcBorders>
          <w:bottom w:val="single" w:color="6A6A6A" w:sz="12" w:space="0" w:themeColor="text1" w:themeTint="95"/>
        </w:tcBorders>
      </w:tcPr>
    </w:tblStylePr>
    <w:tblStylePr w:type="lastCol">
      <w:rPr>
        <w:b/>
        <w:color w:val="404040"/>
      </w:rPr>
    </w:tblStylePr>
    <w:tblStylePr w:type="lastRow">
      <w:rPr>
        <w:b/>
        <w:color w:val="404040"/>
      </w:rPr>
    </w:tblStylePr>
  </w:style>
  <w:style w:type="table" w:styleId="431" w:customStyle="1">
    <w:name w:val="Grid Table 1 Light - Accent 1"/>
    <w:basedOn w:val="395"/>
    <w:uiPriority w:val="99"/>
    <w:pPr>
      <w:spacing w:lineRule="auto" w:line="240" w:after="0"/>
    </w:pPr>
    <w:tblPr>
      <w:tblStyleRowBandSize w:val="1"/>
      <w:tblStyleColBandSize w:val="1"/>
      <w:tblInd w:w="0" w:type="dxa"/>
      <w:tbl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insideV w:val="single" w:color="B7CBE4" w:sz="4" w:space="0" w:themeColor="accent1" w:themeTint="67"/>
        <w:insideH w:val="single" w:color="B7CBE4" w:sz="4" w:space="0" w:themeColor="accent1" w:themeTint="67"/>
      </w:tblBorders>
      <w:tblCellMar>
        <w:left w:w="108" w:type="dxa"/>
        <w:top w:w="0" w:type="dxa"/>
        <w:right w:w="108" w:type="dxa"/>
        <w:bottom w:w="0" w:type="dxa"/>
      </w:tblCellMar>
    </w:tblPr>
    <w:tblStylePr w:type="band1Horz">
      <w:rPr>
        <w:rFonts w:ascii="Arial" w:hAnsi="Arial"/>
        <w:color w:val="404040"/>
        <w:sz w:val="22"/>
      </w:rPr>
      <w:tcPr>
        <w:tc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tcBorders>
      </w:tcPr>
    </w:tblStylePr>
    <w:tblStylePr w:type="firstCol">
      <w:rPr>
        <w:b/>
        <w:color w:val="404040"/>
      </w:rPr>
    </w:tblStylePr>
    <w:tblStylePr w:type="firstRow">
      <w:rPr>
        <w:b/>
        <w:color w:val="404040"/>
      </w:rPr>
      <w:tcPr>
        <w:tcBorders>
          <w:bottom w:val="single" w:color="97B4D8" w:sz="12" w:space="0" w:themeColor="accent1" w:themeTint="95"/>
        </w:tcBorders>
      </w:tcPr>
    </w:tblStylePr>
    <w:tblStylePr w:type="lastCol">
      <w:rPr>
        <w:b/>
        <w:color w:val="404040"/>
      </w:rPr>
    </w:tblStylePr>
    <w:tblStylePr w:type="lastRow">
      <w:rPr>
        <w:b/>
        <w:color w:val="404040"/>
      </w:rPr>
    </w:tblStylePr>
  </w:style>
  <w:style w:type="table" w:styleId="432" w:customStyle="1">
    <w:name w:val="Grid Table 1 Light - Accent 2"/>
    <w:basedOn w:val="395"/>
    <w:uiPriority w:val="99"/>
    <w:pPr>
      <w:spacing w:lineRule="auto" w:line="240" w:after="0"/>
    </w:pPr>
    <w:tblPr>
      <w:tblStyleRowBandSize w:val="1"/>
      <w:tblStyleColBandSize w:val="1"/>
      <w:tblInd w:w="0" w:type="dxa"/>
      <w:tbl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insideV w:val="single" w:color="E5B7B6" w:sz="4" w:space="0" w:themeColor="accent2" w:themeTint="67"/>
        <w:insideH w:val="single" w:color="E5B7B6" w:sz="4" w:space="0" w:themeColor="accent2" w:themeTint="67"/>
      </w:tblBorders>
      <w:tblCellMar>
        <w:left w:w="108" w:type="dxa"/>
        <w:top w:w="0" w:type="dxa"/>
        <w:right w:w="108" w:type="dxa"/>
        <w:bottom w:w="0" w:type="dxa"/>
      </w:tblCellMar>
    </w:tblPr>
    <w:tblStylePr w:type="band1Horz">
      <w:rPr>
        <w:rFonts w:ascii="Arial" w:hAnsi="Arial"/>
        <w:color w:val="404040"/>
        <w:sz w:val="22"/>
      </w:rPr>
      <w:tcPr>
        <w:tc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tcBorders>
      </w:tcPr>
    </w:tblStylePr>
    <w:tblStylePr w:type="firstCol">
      <w:rPr>
        <w:b/>
        <w:color w:val="404040"/>
      </w:rPr>
    </w:tblStylePr>
    <w:tblStylePr w:type="firstRow">
      <w:rPr>
        <w:b/>
        <w:color w:val="404040"/>
      </w:rPr>
      <w:tcPr>
        <w:tcBorders>
          <w:bottom w:val="single" w:color="DA9896" w:sz="12" w:space="0" w:themeColor="accent2" w:themeTint="95"/>
        </w:tcBorders>
      </w:tcPr>
    </w:tblStylePr>
    <w:tblStylePr w:type="lastCol">
      <w:rPr>
        <w:b/>
        <w:color w:val="404040"/>
      </w:rPr>
    </w:tblStylePr>
    <w:tblStylePr w:type="lastRow">
      <w:rPr>
        <w:b/>
        <w:color w:val="404040"/>
      </w:rPr>
    </w:tblStylePr>
  </w:style>
  <w:style w:type="table" w:styleId="433" w:customStyle="1">
    <w:name w:val="Grid Table 1 Light - Accent 3"/>
    <w:basedOn w:val="395"/>
    <w:uiPriority w:val="99"/>
    <w:pPr>
      <w:spacing w:lineRule="auto" w:line="240" w:after="0"/>
    </w:pPr>
    <w:tblPr>
      <w:tblStyleRowBandSize w:val="1"/>
      <w:tblStyleColBandSize w:val="1"/>
      <w:tblInd w:w="0" w:type="dxa"/>
      <w:tbl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insideV w:val="single" w:color="D6E3BB" w:sz="4" w:space="0" w:themeColor="accent3" w:themeTint="67"/>
        <w:insideH w:val="single" w:color="D6E3BB" w:sz="4" w:space="0" w:themeColor="accent3" w:themeTint="67"/>
      </w:tblBorders>
      <w:tblCellMar>
        <w:left w:w="108" w:type="dxa"/>
        <w:top w:w="0" w:type="dxa"/>
        <w:right w:w="108" w:type="dxa"/>
        <w:bottom w:w="0" w:type="dxa"/>
      </w:tblCellMar>
    </w:tblPr>
    <w:tblStylePr w:type="band1Horz">
      <w:rPr>
        <w:rFonts w:ascii="Arial" w:hAnsi="Arial"/>
        <w:color w:val="404040"/>
        <w:sz w:val="22"/>
      </w:rPr>
      <w:tcPr>
        <w:tc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tcBorders>
      </w:tcPr>
    </w:tblStylePr>
    <w:tblStylePr w:type="firstCol">
      <w:rPr>
        <w:b/>
        <w:color w:val="404040"/>
      </w:rPr>
    </w:tblStylePr>
    <w:tblStylePr w:type="firstRow">
      <w:rPr>
        <w:b/>
        <w:color w:val="404040"/>
      </w:rPr>
      <w:tcPr>
        <w:tcBorders>
          <w:bottom w:val="single" w:color="C4D79D" w:sz="12" w:space="0" w:themeColor="accent3" w:themeTint="95"/>
        </w:tcBorders>
      </w:tcPr>
    </w:tblStylePr>
    <w:tblStylePr w:type="lastCol">
      <w:rPr>
        <w:b/>
        <w:color w:val="404040"/>
      </w:rPr>
    </w:tblStylePr>
    <w:tblStylePr w:type="lastRow">
      <w:rPr>
        <w:b/>
        <w:color w:val="404040"/>
      </w:rPr>
    </w:tblStylePr>
  </w:style>
  <w:style w:type="table" w:styleId="434" w:customStyle="1">
    <w:name w:val="Grid Table 1 Light - Accent 4"/>
    <w:basedOn w:val="395"/>
    <w:uiPriority w:val="99"/>
    <w:pPr>
      <w:spacing w:lineRule="auto" w:line="240" w:after="0"/>
    </w:pPr>
    <w:tblPr>
      <w:tblStyleRowBandSize w:val="1"/>
      <w:tblStyleColBandSize w:val="1"/>
      <w:tblInd w:w="0" w:type="dxa"/>
      <w:tbl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insideV w:val="single" w:color="CBC0D9" w:sz="4" w:space="0" w:themeColor="accent4" w:themeTint="67"/>
        <w:insideH w:val="single" w:color="CBC0D9" w:sz="4" w:space="0" w:themeColor="accent4" w:themeTint="67"/>
      </w:tblBorders>
      <w:tblCellMar>
        <w:left w:w="108" w:type="dxa"/>
        <w:top w:w="0" w:type="dxa"/>
        <w:right w:w="108" w:type="dxa"/>
        <w:bottom w:w="0" w:type="dxa"/>
      </w:tblCellMar>
    </w:tblPr>
    <w:tblStylePr w:type="band1Horz">
      <w:rPr>
        <w:rFonts w:ascii="Arial" w:hAnsi="Arial"/>
        <w:color w:val="404040"/>
        <w:sz w:val="22"/>
      </w:rPr>
      <w:tcPr>
        <w:tc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tcBorders>
      </w:tcPr>
    </w:tblStylePr>
    <w:tblStylePr w:type="firstCol">
      <w:rPr>
        <w:b/>
        <w:color w:val="404040"/>
      </w:rPr>
    </w:tblStylePr>
    <w:tblStylePr w:type="firstRow">
      <w:rPr>
        <w:b/>
        <w:color w:val="404040"/>
      </w:rPr>
      <w:tcPr>
        <w:tcBorders>
          <w:bottom w:val="single" w:color="B4A4C8" w:sz="12" w:space="0" w:themeColor="accent4" w:themeTint="95"/>
        </w:tcBorders>
      </w:tcPr>
    </w:tblStylePr>
    <w:tblStylePr w:type="lastCol">
      <w:rPr>
        <w:b/>
        <w:color w:val="404040"/>
      </w:rPr>
    </w:tblStylePr>
    <w:tblStylePr w:type="lastRow">
      <w:rPr>
        <w:b/>
        <w:color w:val="404040"/>
      </w:rPr>
    </w:tblStylePr>
  </w:style>
  <w:style w:type="table" w:styleId="435" w:customStyle="1">
    <w:name w:val="Grid Table 1 Light - Accent 5"/>
    <w:basedOn w:val="395"/>
    <w:uiPriority w:val="99"/>
    <w:pPr>
      <w:spacing w:lineRule="auto" w:line="240" w:after="0"/>
    </w:pPr>
    <w:tblPr>
      <w:tblStyleRowBandSize w:val="1"/>
      <w:tblStyleColBandSize w:val="1"/>
      <w:tblInd w:w="0" w:type="dxa"/>
      <w:tbl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insideV w:val="single" w:color="B6DDE8" w:sz="4" w:space="0" w:themeColor="accent5" w:themeTint="67"/>
        <w:insideH w:val="single" w:color="B6DDE8" w:sz="4" w:space="0" w:themeColor="accent5" w:themeTint="67"/>
      </w:tblBorders>
      <w:tblCellMar>
        <w:left w:w="108" w:type="dxa"/>
        <w:top w:w="0" w:type="dxa"/>
        <w:right w:w="108" w:type="dxa"/>
        <w:bottom w:w="0" w:type="dxa"/>
      </w:tblCellMar>
    </w:tblPr>
    <w:tblStylePr w:type="band1Horz">
      <w:rPr>
        <w:rFonts w:ascii="Arial" w:hAnsi="Arial"/>
        <w:color w:val="404040"/>
        <w:sz w:val="22"/>
      </w:rPr>
      <w:tcPr>
        <w:tc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tcBorders>
      </w:tcPr>
    </w:tblStylePr>
    <w:tblStylePr w:type="firstCol">
      <w:rPr>
        <w:b/>
        <w:color w:val="404040"/>
      </w:rPr>
    </w:tblStylePr>
    <w:tblStylePr w:type="firstRow">
      <w:rPr>
        <w:b/>
        <w:color w:val="404040"/>
      </w:rPr>
      <w:tcPr>
        <w:tcBorders>
          <w:bottom w:val="single" w:color="95CEDD" w:sz="12" w:space="0" w:themeColor="accent5" w:themeTint="95"/>
        </w:tcBorders>
      </w:tcPr>
    </w:tblStylePr>
    <w:tblStylePr w:type="lastCol">
      <w:rPr>
        <w:b/>
        <w:color w:val="404040"/>
      </w:rPr>
    </w:tblStylePr>
    <w:tblStylePr w:type="lastRow">
      <w:rPr>
        <w:b/>
        <w:color w:val="404040"/>
      </w:rPr>
    </w:tblStylePr>
  </w:style>
  <w:style w:type="table" w:styleId="436" w:customStyle="1">
    <w:name w:val="Grid Table 1 Light - Accent 6"/>
    <w:basedOn w:val="395"/>
    <w:uiPriority w:val="99"/>
    <w:pPr>
      <w:spacing w:lineRule="auto" w:line="240" w:after="0"/>
    </w:pPr>
    <w:tblPr>
      <w:tblStyleRowBandSize w:val="1"/>
      <w:tblStyleColBandSize w:val="1"/>
      <w:tblInd w:w="0" w:type="dxa"/>
      <w:tbl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insideV w:val="single" w:color="FBD4B4" w:sz="4" w:space="0" w:themeColor="accent6" w:themeTint="67"/>
        <w:insideH w:val="single" w:color="FBD4B4" w:sz="4" w:space="0" w:themeColor="accent6" w:themeTint="67"/>
      </w:tblBorders>
      <w:tblCellMar>
        <w:left w:w="108" w:type="dxa"/>
        <w:top w:w="0" w:type="dxa"/>
        <w:right w:w="108" w:type="dxa"/>
        <w:bottom w:w="0" w:type="dxa"/>
      </w:tblCellMar>
    </w:tblPr>
    <w:tblStylePr w:type="band1Horz">
      <w:rPr>
        <w:rFonts w:ascii="Arial" w:hAnsi="Arial"/>
        <w:color w:val="404040"/>
        <w:sz w:val="22"/>
      </w:rPr>
      <w:tcPr>
        <w:tc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tcBorders>
      </w:tcPr>
    </w:tblStylePr>
    <w:tblStylePr w:type="firstCol">
      <w:rPr>
        <w:b/>
        <w:color w:val="404040"/>
      </w:rPr>
    </w:tblStylePr>
    <w:tblStylePr w:type="firstRow">
      <w:rPr>
        <w:b/>
        <w:color w:val="404040"/>
      </w:rPr>
      <w:tcPr>
        <w:tcBorders>
          <w:bottom w:val="single" w:color="FAC192" w:sz="12" w:space="0" w:themeColor="accent6" w:themeTint="95"/>
        </w:tcBorders>
      </w:tcPr>
    </w:tblStylePr>
    <w:tblStylePr w:type="lastCol">
      <w:rPr>
        <w:b/>
        <w:color w:val="404040"/>
      </w:rPr>
    </w:tblStylePr>
    <w:tblStylePr w:type="lastRow">
      <w:rPr>
        <w:b/>
        <w:color w:val="404040"/>
      </w:rPr>
    </w:tblStylePr>
  </w:style>
  <w:style w:type="table" w:styleId="437" w:customStyle="1">
    <w:name w:val="Grid Table 2"/>
    <w:basedOn w:val="395"/>
    <w:uiPriority w:val="99"/>
    <w:pPr>
      <w:spacing w:lineRule="auto" w:line="240" w:after="0"/>
    </w:pPr>
    <w:tblPr>
      <w:tblStyleRowBandSize w:val="1"/>
      <w:tblStyleColBandSize w:val="1"/>
      <w:tblInd w:w="0" w:type="dxa"/>
      <w:tblBorders>
        <w:bottom w:val="single" w:color="6A6A6A" w:sz="4" w:space="0" w:themeColor="text1" w:themeTint="95"/>
        <w:insideV w:val="single" w:color="6A6A6A" w:sz="4" w:space="0" w:themeColor="text1" w:themeTint="95"/>
        <w:insideH w:val="single" w:color="6A6A6A" w:sz="4" w:space="0" w:themeColor="text1" w:themeTint="95"/>
      </w:tblBorders>
      <w:tblCellMar>
        <w:left w:w="108" w:type="dxa"/>
        <w:top w:w="0" w:type="dxa"/>
        <w:right w:w="108" w:type="dxa"/>
        <w:bottom w:w="0" w:type="dxa"/>
      </w:tblCellMar>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6A6A6A"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6A6A6A" w:sz="4" w:space="0" w:themeColor="text1" w:themeTint="95"/>
          <w:right w:val="none" w:color="000000" w:sz="4" w:space="0"/>
          <w:bottom w:val="none" w:color="000000" w:sz="4" w:space="0"/>
        </w:tcBorders>
      </w:tcPr>
    </w:tblStylePr>
  </w:style>
  <w:style w:type="table" w:styleId="438" w:customStyle="1">
    <w:name w:val="Grid Table 2 - Accent 1"/>
    <w:basedOn w:val="395"/>
    <w:uiPriority w:val="99"/>
    <w:pPr>
      <w:spacing w:lineRule="auto" w:line="240" w:after="0"/>
    </w:pPr>
    <w:tblPr>
      <w:tblStyleRowBandSize w:val="1"/>
      <w:tblStyleColBandSize w:val="1"/>
      <w:tblInd w:w="0" w:type="dxa"/>
      <w:tblBorders>
        <w:bottom w:val="single" w:color="5D8AC2" w:sz="4" w:space="0" w:themeColor="accent1" w:themeTint="EA"/>
        <w:insideV w:val="single" w:color="5D8AC2" w:sz="4" w:space="0" w:themeColor="accent1" w:themeTint="EA"/>
        <w:insideH w:val="single" w:color="5D8AC2" w:sz="4" w:space="0" w:themeColor="accent1" w:themeTint="EA"/>
      </w:tblBorders>
      <w:tblCellMar>
        <w:left w:w="108" w:type="dxa"/>
        <w:top w:w="0" w:type="dxa"/>
        <w:right w:w="108" w:type="dxa"/>
        <w:bottom w:w="0" w:type="dxa"/>
      </w:tblCellMar>
    </w:tblPr>
    <w:tblStylePr w:type="band1Horz">
      <w:rPr>
        <w:rFonts w:ascii="Arial" w:hAnsi="Arial"/>
        <w:color w:val="404040"/>
        <w:sz w:val="22"/>
      </w:rPr>
      <w:tcPr>
        <w:shd w:val="clear" w:color="auto" w:fill="DAE5F1" w:themeFill="accent1" w:themeFillTint="34"/>
      </w:tcPr>
    </w:tblStylePr>
    <w:tblStylePr w:type="band1Vert">
      <w:rPr>
        <w:rFonts w:ascii="Arial" w:hAnsi="Arial"/>
        <w:color w:val="404040"/>
        <w:sz w:val="22"/>
      </w:rPr>
      <w:tcPr>
        <w:shd w:val="clear" w:color="auto" w:fill="DAE5F1"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5D8AC2"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5D8AC2" w:sz="4" w:space="0" w:themeColor="accent1" w:themeTint="EA"/>
          <w:right w:val="none" w:color="000000" w:sz="4" w:space="0"/>
          <w:bottom w:val="none" w:color="000000" w:sz="4" w:space="0"/>
        </w:tcBorders>
      </w:tcPr>
    </w:tblStylePr>
  </w:style>
  <w:style w:type="table" w:styleId="439" w:customStyle="1">
    <w:name w:val="Grid Table 2 - Accent 2"/>
    <w:basedOn w:val="395"/>
    <w:uiPriority w:val="99"/>
    <w:pPr>
      <w:spacing w:lineRule="auto" w:line="240" w:after="0"/>
    </w:pPr>
    <w:tblPr>
      <w:tblStyleRowBandSize w:val="1"/>
      <w:tblStyleColBandSize w:val="1"/>
      <w:tblInd w:w="0" w:type="dxa"/>
      <w:tblBorders>
        <w:bottom w:val="single" w:color="D99695" w:sz="4" w:space="0" w:themeColor="accent2" w:themeTint="97"/>
        <w:insideV w:val="single" w:color="D99695" w:sz="4" w:space="0" w:themeColor="accent2" w:themeTint="97"/>
        <w:insideH w:val="single" w:color="D99695" w:sz="4" w:space="0" w:themeColor="accent2" w:themeTint="97"/>
      </w:tblBorders>
      <w:tblCellMar>
        <w:left w:w="108" w:type="dxa"/>
        <w:top w:w="0" w:type="dxa"/>
        <w:right w:w="108" w:type="dxa"/>
        <w:bottom w:w="0" w:type="dxa"/>
      </w:tblCellMar>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D99695"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D99695" w:sz="4" w:space="0" w:themeColor="accent2" w:themeTint="97"/>
          <w:right w:val="none" w:color="000000" w:sz="4" w:space="0"/>
          <w:bottom w:val="none" w:color="000000" w:sz="4" w:space="0"/>
        </w:tcBorders>
      </w:tcPr>
    </w:tblStylePr>
  </w:style>
  <w:style w:type="table" w:styleId="440" w:customStyle="1">
    <w:name w:val="Grid Table 2 - Accent 3"/>
    <w:basedOn w:val="395"/>
    <w:uiPriority w:val="99"/>
    <w:pPr>
      <w:spacing w:lineRule="auto" w:line="240" w:after="0"/>
    </w:pPr>
    <w:tblPr>
      <w:tblStyleRowBandSize w:val="1"/>
      <w:tblStyleColBandSize w:val="1"/>
      <w:tblInd w:w="0" w:type="dxa"/>
      <w:tblBorders>
        <w:bottom w:val="single" w:color="9ABB59" w:sz="4" w:space="0" w:themeColor="accent3" w:themeTint="FE"/>
        <w:insideV w:val="single" w:color="9ABB59" w:sz="4" w:space="0" w:themeColor="accent3" w:themeTint="FE"/>
        <w:insideH w:val="single" w:color="9ABB59" w:sz="4" w:space="0" w:themeColor="accent3" w:themeTint="FE"/>
      </w:tblBorders>
      <w:tblCellMar>
        <w:left w:w="108" w:type="dxa"/>
        <w:top w:w="0" w:type="dxa"/>
        <w:right w:w="108" w:type="dxa"/>
        <w:bottom w:w="0" w:type="dxa"/>
      </w:tblCellMar>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9ABB59"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9ABB59" w:sz="4" w:space="0" w:themeColor="accent3" w:themeTint="FE"/>
          <w:right w:val="none" w:color="000000" w:sz="4" w:space="0"/>
          <w:bottom w:val="none" w:color="000000" w:sz="4" w:space="0"/>
        </w:tcBorders>
      </w:tcPr>
    </w:tblStylePr>
  </w:style>
  <w:style w:type="table" w:styleId="441" w:customStyle="1">
    <w:name w:val="Grid Table 2 - Accent 4"/>
    <w:basedOn w:val="395"/>
    <w:uiPriority w:val="99"/>
    <w:pPr>
      <w:spacing w:lineRule="auto" w:line="240" w:after="0"/>
    </w:pPr>
    <w:tblPr>
      <w:tblStyleRowBandSize w:val="1"/>
      <w:tblStyleColBandSize w:val="1"/>
      <w:tblInd w:w="0" w:type="dxa"/>
      <w:tblBorders>
        <w:bottom w:val="single" w:color="B2A1C6" w:sz="4" w:space="0" w:themeColor="accent4" w:themeTint="9A"/>
        <w:insideV w:val="single" w:color="B2A1C6" w:sz="4" w:space="0" w:themeColor="accent4" w:themeTint="9A"/>
        <w:insideH w:val="single" w:color="B2A1C6" w:sz="4" w:space="0" w:themeColor="accent4" w:themeTint="9A"/>
      </w:tblBorders>
      <w:tblCellMar>
        <w:left w:w="108" w:type="dxa"/>
        <w:top w:w="0" w:type="dxa"/>
        <w:right w:w="108" w:type="dxa"/>
        <w:bottom w:w="0" w:type="dxa"/>
      </w:tblCellMar>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B2A1C6"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B2A1C6" w:sz="4" w:space="0" w:themeColor="accent4" w:themeTint="9A"/>
          <w:right w:val="none" w:color="000000" w:sz="4" w:space="0"/>
          <w:bottom w:val="none" w:color="000000" w:sz="4" w:space="0"/>
        </w:tcBorders>
      </w:tcPr>
    </w:tblStylePr>
  </w:style>
  <w:style w:type="table" w:styleId="442" w:customStyle="1">
    <w:name w:val="Grid Table 2 - Accent 5"/>
    <w:basedOn w:val="395"/>
    <w:uiPriority w:val="99"/>
    <w:pPr>
      <w:spacing w:lineRule="auto" w:line="240" w:after="0"/>
    </w:pPr>
    <w:tblPr>
      <w:tblStyleRowBandSize w:val="1"/>
      <w:tblStyleColBandSize w:val="1"/>
      <w:tblInd w:w="0" w:type="dxa"/>
      <w:tblBorders>
        <w:bottom w:val="single" w:color="4BACC6" w:sz="4" w:space="0" w:themeColor="accent5"/>
        <w:insideV w:val="single" w:color="4BACC6" w:sz="4" w:space="0" w:themeColor="accent5"/>
        <w:insideH w:val="single" w:color="4BACC6" w:sz="4" w:space="0" w:themeColor="accent5"/>
      </w:tblBorders>
      <w:tblCellMar>
        <w:left w:w="108" w:type="dxa"/>
        <w:top w:w="0" w:type="dxa"/>
        <w:right w:w="108" w:type="dxa"/>
        <w:bottom w:w="0" w:type="dxa"/>
      </w:tblCellMar>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4BACC6"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4BACC6" w:sz="4" w:space="0" w:themeColor="accent5"/>
          <w:right w:val="none" w:color="000000" w:sz="4" w:space="0"/>
          <w:bottom w:val="none" w:color="000000" w:sz="4" w:space="0"/>
        </w:tcBorders>
      </w:tcPr>
    </w:tblStylePr>
  </w:style>
  <w:style w:type="table" w:styleId="443" w:customStyle="1">
    <w:name w:val="Grid Table 2 - Accent 6"/>
    <w:basedOn w:val="395"/>
    <w:uiPriority w:val="99"/>
    <w:pPr>
      <w:spacing w:lineRule="auto" w:line="240" w:after="0"/>
    </w:pPr>
    <w:tblPr>
      <w:tblStyleRowBandSize w:val="1"/>
      <w:tblStyleColBandSize w:val="1"/>
      <w:tblInd w:w="0" w:type="dxa"/>
      <w:tblBorders>
        <w:bottom w:val="single" w:color="F79646" w:sz="4" w:space="0" w:themeColor="accent6"/>
        <w:insideV w:val="single" w:color="F79646" w:sz="4" w:space="0" w:themeColor="accent6"/>
        <w:insideH w:val="single" w:color="F79646" w:sz="4" w:space="0" w:themeColor="accent6"/>
      </w:tblBorders>
      <w:tblCellMar>
        <w:left w:w="108" w:type="dxa"/>
        <w:top w:w="0" w:type="dxa"/>
        <w:right w:w="108" w:type="dxa"/>
        <w:bottom w:w="0" w:type="dxa"/>
      </w:tblCellMar>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F79646"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F79646" w:sz="4" w:space="0" w:themeColor="accent6"/>
          <w:right w:val="none" w:color="000000" w:sz="4" w:space="0"/>
          <w:bottom w:val="none" w:color="000000" w:sz="4" w:space="0"/>
        </w:tcBorders>
      </w:tcPr>
    </w:tblStylePr>
  </w:style>
  <w:style w:type="table" w:styleId="444" w:customStyle="1">
    <w:name w:val="Grid Table 3"/>
    <w:basedOn w:val="395"/>
    <w:uiPriority w:val="99"/>
    <w:pPr>
      <w:spacing w:lineRule="auto" w:line="240" w:after="0"/>
    </w:pPr>
    <w:tblPr>
      <w:tblStyleRowBandSize w:val="1"/>
      <w:tblStyleColBandSize w:val="1"/>
      <w:tblInd w:w="0" w:type="dxa"/>
      <w:tblBorders>
        <w:bottom w:val="single" w:color="6A6A6A" w:sz="4" w:space="0" w:themeColor="text1" w:themeTint="95"/>
        <w:insideV w:val="single" w:color="6A6A6A" w:sz="4" w:space="0" w:themeColor="text1" w:themeTint="95"/>
        <w:insideH w:val="single" w:color="6A6A6A" w:sz="4" w:space="0" w:themeColor="text1" w:themeTint="95"/>
      </w:tblBorders>
      <w:tblCellMar>
        <w:left w:w="108" w:type="dxa"/>
        <w:top w:w="0" w:type="dxa"/>
        <w:right w:w="108" w:type="dxa"/>
        <w:bottom w:w="0" w:type="dxa"/>
      </w:tblCellMar>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5" w:customStyle="1">
    <w:name w:val="Grid Table 3 - Accent 1"/>
    <w:basedOn w:val="395"/>
    <w:uiPriority w:val="99"/>
    <w:pPr>
      <w:spacing w:lineRule="auto" w:line="240" w:after="0"/>
    </w:pPr>
    <w:tblPr>
      <w:tblStyleRowBandSize w:val="1"/>
      <w:tblStyleColBandSize w:val="1"/>
      <w:tblInd w:w="0" w:type="dxa"/>
      <w:tblBorders>
        <w:bottom w:val="single" w:color="5D8AC2" w:sz="4" w:space="0" w:themeColor="accent1" w:themeTint="EA"/>
        <w:insideV w:val="single" w:color="5D8AC2" w:sz="4" w:space="0" w:themeColor="accent1" w:themeTint="EA"/>
        <w:insideH w:val="single" w:color="5D8AC2" w:sz="4" w:space="0" w:themeColor="accent1" w:themeTint="EA"/>
      </w:tblBorders>
      <w:tblCellMar>
        <w:left w:w="108" w:type="dxa"/>
        <w:top w:w="0" w:type="dxa"/>
        <w:right w:w="108" w:type="dxa"/>
        <w:bottom w:w="0" w:type="dxa"/>
      </w:tblCellMar>
    </w:tblPr>
    <w:tblStylePr w:type="band1Horz">
      <w:rPr>
        <w:rFonts w:ascii="Arial" w:hAnsi="Arial"/>
        <w:color w:val="404040"/>
        <w:sz w:val="22"/>
      </w:rPr>
      <w:tcPr>
        <w:shd w:val="clear" w:color="auto" w:fill="DAE5F1" w:themeFill="accent1" w:themeFillTint="34"/>
      </w:tcPr>
    </w:tblStylePr>
    <w:tblStylePr w:type="band1Vert">
      <w:rPr>
        <w:rFonts w:ascii="Arial" w:hAnsi="Arial"/>
        <w:color w:val="404040"/>
        <w:sz w:val="22"/>
      </w:rPr>
      <w:tcPr>
        <w:shd w:val="clear" w:color="auto" w:fill="DAE5F1"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6" w:customStyle="1">
    <w:name w:val="Grid Table 3 - Accent 2"/>
    <w:basedOn w:val="395"/>
    <w:uiPriority w:val="99"/>
    <w:pPr>
      <w:spacing w:lineRule="auto" w:line="240" w:after="0"/>
    </w:pPr>
    <w:tblPr>
      <w:tblStyleRowBandSize w:val="1"/>
      <w:tblStyleColBandSize w:val="1"/>
      <w:tblInd w:w="0" w:type="dxa"/>
      <w:tblBorders>
        <w:bottom w:val="single" w:color="D99695" w:sz="4" w:space="0" w:themeColor="accent2" w:themeTint="97"/>
        <w:insideV w:val="single" w:color="D99695" w:sz="4" w:space="0" w:themeColor="accent2" w:themeTint="97"/>
        <w:insideH w:val="single" w:color="D99695" w:sz="4" w:space="0" w:themeColor="accent2" w:themeTint="97"/>
      </w:tblBorders>
      <w:tblCellMar>
        <w:left w:w="108" w:type="dxa"/>
        <w:top w:w="0" w:type="dxa"/>
        <w:right w:w="108" w:type="dxa"/>
        <w:bottom w:w="0" w:type="dxa"/>
      </w:tblCellMar>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7" w:customStyle="1">
    <w:name w:val="Grid Table 3 - Accent 3"/>
    <w:basedOn w:val="395"/>
    <w:uiPriority w:val="99"/>
    <w:pPr>
      <w:spacing w:lineRule="auto" w:line="240" w:after="0"/>
    </w:pPr>
    <w:tblPr>
      <w:tblStyleRowBandSize w:val="1"/>
      <w:tblStyleColBandSize w:val="1"/>
      <w:tblInd w:w="0" w:type="dxa"/>
      <w:tblBorders>
        <w:bottom w:val="single" w:color="9ABB59" w:sz="4" w:space="0" w:themeColor="accent3" w:themeTint="FE"/>
        <w:insideV w:val="single" w:color="9ABB59" w:sz="4" w:space="0" w:themeColor="accent3" w:themeTint="FE"/>
        <w:insideH w:val="single" w:color="9ABB59" w:sz="4" w:space="0" w:themeColor="accent3" w:themeTint="FE"/>
      </w:tblBorders>
      <w:tblCellMar>
        <w:left w:w="108" w:type="dxa"/>
        <w:top w:w="0" w:type="dxa"/>
        <w:right w:w="108" w:type="dxa"/>
        <w:bottom w:w="0" w:type="dxa"/>
      </w:tblCellMar>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8" w:customStyle="1">
    <w:name w:val="Grid Table 3 - Accent 4"/>
    <w:basedOn w:val="395"/>
    <w:uiPriority w:val="99"/>
    <w:pPr>
      <w:spacing w:lineRule="auto" w:line="240" w:after="0"/>
    </w:pPr>
    <w:tblPr>
      <w:tblStyleRowBandSize w:val="1"/>
      <w:tblStyleColBandSize w:val="1"/>
      <w:tblInd w:w="0" w:type="dxa"/>
      <w:tblBorders>
        <w:bottom w:val="single" w:color="B2A1C6" w:sz="4" w:space="0" w:themeColor="accent4" w:themeTint="9A"/>
        <w:insideV w:val="single" w:color="B2A1C6" w:sz="4" w:space="0" w:themeColor="accent4" w:themeTint="9A"/>
        <w:insideH w:val="single" w:color="B2A1C6" w:sz="4" w:space="0" w:themeColor="accent4" w:themeTint="9A"/>
      </w:tblBorders>
      <w:tblCellMar>
        <w:left w:w="108" w:type="dxa"/>
        <w:top w:w="0" w:type="dxa"/>
        <w:right w:w="108" w:type="dxa"/>
        <w:bottom w:w="0" w:type="dxa"/>
      </w:tblCellMar>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49" w:customStyle="1">
    <w:name w:val="Grid Table 3 - Accent 5"/>
    <w:basedOn w:val="395"/>
    <w:uiPriority w:val="99"/>
    <w:pPr>
      <w:spacing w:lineRule="auto" w:line="240" w:after="0"/>
    </w:pPr>
    <w:tblPr>
      <w:tblStyleRowBandSize w:val="1"/>
      <w:tblStyleColBandSize w:val="1"/>
      <w:tblInd w:w="0" w:type="dxa"/>
      <w:tblBorders>
        <w:bottom w:val="single" w:color="4BACC6" w:sz="4" w:space="0" w:themeColor="accent5"/>
        <w:insideV w:val="single" w:color="4BACC6" w:sz="4" w:space="0" w:themeColor="accent5"/>
        <w:insideH w:val="single" w:color="4BACC6" w:sz="4" w:space="0" w:themeColor="accent5"/>
      </w:tblBorders>
      <w:tblCellMar>
        <w:left w:w="108" w:type="dxa"/>
        <w:top w:w="0" w:type="dxa"/>
        <w:right w:w="108" w:type="dxa"/>
        <w:bottom w:w="0" w:type="dxa"/>
      </w:tblCellMar>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50" w:customStyle="1">
    <w:name w:val="Grid Table 3 - Accent 6"/>
    <w:basedOn w:val="395"/>
    <w:uiPriority w:val="99"/>
    <w:pPr>
      <w:spacing w:lineRule="auto" w:line="240" w:after="0"/>
    </w:pPr>
    <w:tblPr>
      <w:tblStyleRowBandSize w:val="1"/>
      <w:tblStyleColBandSize w:val="1"/>
      <w:tblInd w:w="0" w:type="dxa"/>
      <w:tblBorders>
        <w:bottom w:val="single" w:color="F79646" w:sz="4" w:space="0" w:themeColor="accent6"/>
        <w:insideV w:val="single" w:color="F79646" w:sz="4" w:space="0" w:themeColor="accent6"/>
        <w:insideH w:val="single" w:color="F79646" w:sz="4" w:space="0" w:themeColor="accent6"/>
      </w:tblBorders>
      <w:tblCellMar>
        <w:left w:w="108" w:type="dxa"/>
        <w:top w:w="0" w:type="dxa"/>
        <w:right w:w="108" w:type="dxa"/>
        <w:bottom w:w="0" w:type="dxa"/>
      </w:tblCellMar>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51" w:customStyle="1">
    <w:name w:val="Grid Table 4"/>
    <w:basedOn w:val="395"/>
    <w:uiPriority w:val="59"/>
    <w:pPr>
      <w:spacing w:lineRule="auto" w:line="240" w:after="0"/>
    </w:pPr>
    <w:tblPr>
      <w:tblStyleRowBandSize w:val="1"/>
      <w:tblStyleColBandSize w:val="1"/>
      <w:tblInd w:w="0" w:type="dxa"/>
      <w:tblBorders>
        <w:left w:val="single" w:color="6F6F6F" w:sz="4" w:space="0" w:themeColor="text1" w:themeTint="90"/>
        <w:top w:val="single" w:color="6F6F6F" w:sz="4" w:space="0" w:themeColor="text1" w:themeTint="90"/>
        <w:right w:val="single" w:color="6F6F6F" w:sz="4" w:space="0" w:themeColor="text1" w:themeTint="90"/>
        <w:bottom w:val="single" w:color="6F6F6F" w:sz="4" w:space="0" w:themeColor="text1" w:themeTint="90"/>
        <w:insideV w:val="single" w:color="6F6F6F" w:sz="4" w:space="0" w:themeColor="text1" w:themeTint="90"/>
        <w:insideH w:val="single" w:color="6F6F6F" w:sz="4" w:space="0" w:themeColor="text1" w:themeTint="90"/>
      </w:tblBorders>
      <w:tblCellMar>
        <w:left w:w="108" w:type="dxa"/>
        <w:top w:w="0" w:type="dxa"/>
        <w:right w:w="108" w:type="dxa"/>
        <w:bottom w:w="0" w:type="dxa"/>
      </w:tblCellMar>
    </w:tblPr>
    <w:tblStylePr w:type="band1Horz">
      <w:rPr>
        <w:rFonts w:ascii="Arial" w:hAnsi="Arial"/>
        <w:color w:val="404040"/>
        <w:sz w:val="22"/>
      </w:rPr>
      <w:tcPr>
        <w:shd w:val="clear" w:color="auto" w:fill="CBCBCB" w:themeFill="text1" w:themeFillTint="34"/>
      </w:tcPr>
    </w:tblStylePr>
    <w:tblStylePr w:type="band1Vert">
      <w:rPr>
        <w:rFonts w:ascii="Arial" w:hAnsi="Arial"/>
        <w:color w:val="404040"/>
        <w:sz w:val="22"/>
      </w:rPr>
      <w:tcPr>
        <w:shd w:val="clear" w:color="auto" w:fill="CBCBCB" w:themeFill="text1" w:themeFillTint="34"/>
      </w:tcPr>
    </w:tblStylePr>
    <w:tblStylePr w:type="firstCol">
      <w:rPr>
        <w:b/>
        <w:color w:val="404040"/>
      </w:rPr>
    </w:tblStylePr>
    <w:tblStylePr w:type="firstRow">
      <w:rPr>
        <w:rFonts w:ascii="Arial" w:hAnsi="Arial"/>
        <w:b/>
        <w:color w:val="FFFFFF"/>
        <w:sz w:val="22"/>
      </w:rPr>
      <w:tcPr>
        <w:shd w:val="clear" w:color="auto" w:fill="000000"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452" w:customStyle="1">
    <w:name w:val="Grid Table 4 - Accent 1"/>
    <w:basedOn w:val="395"/>
    <w:uiPriority w:val="59"/>
    <w:pPr>
      <w:spacing w:lineRule="auto" w:line="240" w:after="0"/>
    </w:pPr>
    <w:tblPr>
      <w:tblStyleRowBandSize w:val="1"/>
      <w:tblStyleColBandSize w:val="1"/>
      <w:tblInd w:w="0" w:type="dxa"/>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V w:val="single" w:color="9BB7D9" w:sz="4" w:space="0" w:themeColor="accent1" w:themeTint="90"/>
        <w:insideH w:val="single" w:color="9BB7D9" w:sz="4" w:space="0" w:themeColor="accent1" w:themeTint="90"/>
      </w:tblBorders>
      <w:tblCellMar>
        <w:left w:w="108" w:type="dxa"/>
        <w:top w:w="0" w:type="dxa"/>
        <w:right w:w="108" w:type="dxa"/>
        <w:bottom w:w="0" w:type="dxa"/>
      </w:tblCellMar>
    </w:tblPr>
    <w:tblStylePr w:type="band1Horz">
      <w:rPr>
        <w:rFonts w:ascii="Arial" w:hAnsi="Arial"/>
        <w:color w:val="404040"/>
        <w:sz w:val="22"/>
      </w:rPr>
      <w:tcPr>
        <w:shd w:val="clear" w:color="auto" w:fill="DCE6F2" w:themeFill="accent1" w:themeFillTint="32"/>
      </w:tcPr>
    </w:tblStylePr>
    <w:tblStylePr w:type="band1Vert">
      <w:rPr>
        <w:rFonts w:ascii="Arial" w:hAnsi="Arial"/>
        <w:color w:val="404040"/>
        <w:sz w:val="22"/>
      </w:rPr>
      <w:tcPr>
        <w:shd w:val="clear" w:color="auto" w:fill="DCE6F2" w:themeFill="accent1" w:themeFillTint="32"/>
      </w:tcPr>
    </w:tblStylePr>
    <w:tblStylePr w:type="firstCol">
      <w:rPr>
        <w:b/>
        <w:color w:val="404040"/>
      </w:rPr>
    </w:tblStylePr>
    <w:tblStylePr w:type="firstRow">
      <w:rPr>
        <w:rFonts w:ascii="Arial" w:hAnsi="Arial"/>
        <w:b/>
        <w:color w:val="FFFFFF"/>
        <w:sz w:val="22"/>
      </w:rPr>
      <w:tcPr>
        <w:shd w:val="clear" w:color="auto" w:fill="5D8AC2" w:themeFill="accent1" w:themeFillTint="EA"/>
        <w:tcBorders>
          <w:left w:val="single" w:color="5D8AC2" w:sz="4" w:space="0" w:themeColor="accent1" w:themeTint="EA"/>
          <w:top w:val="single" w:color="5D8AC2" w:sz="4" w:space="0" w:themeColor="accent1" w:themeTint="EA"/>
          <w:right w:val="single" w:color="5D8AC2" w:sz="4" w:space="0" w:themeColor="accent1" w:themeTint="EA"/>
          <w:bottom w:val="single" w:color="5D8AC2" w:sz="4" w:space="0" w:themeColor="accent1" w:themeTint="EA"/>
        </w:tcBorders>
      </w:tcPr>
    </w:tblStylePr>
    <w:tblStylePr w:type="lastCol">
      <w:rPr>
        <w:b/>
        <w:color w:val="404040"/>
      </w:rPr>
    </w:tblStylePr>
    <w:tblStylePr w:type="lastRow">
      <w:rPr>
        <w:b/>
        <w:color w:val="404040"/>
      </w:rPr>
      <w:tcPr>
        <w:tcBorders>
          <w:top w:val="single" w:color="5D8AC2" w:sz="4" w:space="0" w:themeColor="accent1" w:themeTint="EA"/>
        </w:tcBorders>
      </w:tcPr>
    </w:tblStylePr>
  </w:style>
  <w:style w:type="table" w:styleId="453" w:customStyle="1">
    <w:name w:val="Grid Table 4 - Accent 2"/>
    <w:basedOn w:val="395"/>
    <w:uiPriority w:val="59"/>
    <w:pPr>
      <w:spacing w:lineRule="auto" w:line="240" w:after="0"/>
    </w:pPr>
    <w:tblPr>
      <w:tblStyleRowBandSize w:val="1"/>
      <w:tblStyleColBandSize w:val="1"/>
      <w:tblInd w:w="0" w:type="dxa"/>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V w:val="single" w:color="DB9B9A" w:sz="4" w:space="0" w:themeColor="accent2" w:themeTint="90"/>
        <w:insideH w:val="single" w:color="DB9B9A" w:sz="4" w:space="0" w:themeColor="accent2" w:themeTint="90"/>
      </w:tblBorders>
      <w:tblCellMar>
        <w:left w:w="108" w:type="dxa"/>
        <w:top w:w="0" w:type="dxa"/>
        <w:right w:w="108" w:type="dxa"/>
        <w:bottom w:w="0" w:type="dxa"/>
      </w:tblCellMar>
    </w:tblPr>
    <w:tblStylePr w:type="band1Horz">
      <w:rPr>
        <w:rFonts w:ascii="Arial" w:hAnsi="Arial"/>
        <w:color w:val="404040"/>
        <w:sz w:val="22"/>
      </w:rPr>
      <w:tcPr>
        <w:shd w:val="clear" w:color="auto" w:fill="F2DCDC" w:themeFill="accent2" w:themeFillTint="32"/>
      </w:tcPr>
    </w:tblStylePr>
    <w:tblStylePr w:type="band1Vert">
      <w:rPr>
        <w:rFonts w:ascii="Arial" w:hAnsi="Arial"/>
        <w:color w:val="404040"/>
        <w:sz w:val="22"/>
      </w:rPr>
      <w:tcPr>
        <w:shd w:val="clear" w:color="auto" w:fill="F2DCDC" w:themeFill="accent2" w:themeFillTint="32"/>
      </w:tcPr>
    </w:tblStylePr>
    <w:tblStylePr w:type="firstCol">
      <w:rPr>
        <w:b/>
        <w:color w:val="404040"/>
      </w:rPr>
    </w:tblStylePr>
    <w:tblStylePr w:type="firstRow">
      <w:rPr>
        <w:rFonts w:ascii="Arial" w:hAnsi="Arial"/>
        <w:b/>
        <w:color w:val="FFFFFF"/>
        <w:sz w:val="22"/>
      </w:rPr>
      <w:tcPr>
        <w:shd w:val="clear" w:color="auto" w:fill="D99695" w:themeFill="accent2" w:themeFillTint="97"/>
        <w:tc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tcBorders>
      </w:tcPr>
    </w:tblStylePr>
    <w:tblStylePr w:type="lastCol">
      <w:rPr>
        <w:b/>
        <w:color w:val="404040"/>
      </w:rPr>
    </w:tblStylePr>
    <w:tblStylePr w:type="lastRow">
      <w:rPr>
        <w:b/>
        <w:color w:val="404040"/>
      </w:rPr>
      <w:tcPr>
        <w:tcBorders>
          <w:top w:val="single" w:color="D99695" w:sz="4" w:space="0" w:themeColor="accent2" w:themeTint="97"/>
        </w:tcBorders>
      </w:tcPr>
    </w:tblStylePr>
  </w:style>
  <w:style w:type="table" w:styleId="454" w:customStyle="1">
    <w:name w:val="Grid Table 4 - Accent 3"/>
    <w:basedOn w:val="395"/>
    <w:uiPriority w:val="59"/>
    <w:pPr>
      <w:spacing w:lineRule="auto" w:line="240" w:after="0"/>
    </w:pPr>
    <w:tblPr>
      <w:tblStyleRowBandSize w:val="1"/>
      <w:tblStyleColBandSize w:val="1"/>
      <w:tblInd w:w="0" w:type="dxa"/>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V w:val="single" w:color="C6D8A1" w:sz="4" w:space="0" w:themeColor="accent3" w:themeTint="90"/>
        <w:insideH w:val="single" w:color="C6D8A1" w:sz="4" w:space="0" w:themeColor="accent3" w:themeTint="90"/>
      </w:tblBorders>
      <w:tblCellMar>
        <w:left w:w="108" w:type="dxa"/>
        <w:top w:w="0" w:type="dxa"/>
        <w:right w:w="108" w:type="dxa"/>
        <w:bottom w:w="0" w:type="dxa"/>
      </w:tblCellMar>
    </w:tblPr>
    <w:tblStylePr w:type="band1Horz">
      <w:rPr>
        <w:rFonts w:ascii="Arial" w:hAnsi="Arial"/>
        <w:color w:val="404040"/>
        <w:sz w:val="22"/>
      </w:rPr>
      <w:tcPr>
        <w:shd w:val="clear" w:color="auto" w:fill="EAF1DC" w:themeFill="accent3" w:themeFillTint="34"/>
      </w:tcPr>
    </w:tblStylePr>
    <w:tblStylePr w:type="band1Vert">
      <w:rPr>
        <w:rFonts w:ascii="Arial" w:hAnsi="Arial"/>
        <w:color w:val="404040"/>
        <w:sz w:val="22"/>
      </w:rPr>
      <w:tcPr>
        <w:shd w:val="clear" w:color="auto" w:fill="EAF1DC" w:themeFill="accent3" w:themeFillTint="34"/>
      </w:tcPr>
    </w:tblStylePr>
    <w:tblStylePr w:type="firstCol">
      <w:rPr>
        <w:b/>
        <w:color w:val="404040"/>
      </w:rPr>
    </w:tblStylePr>
    <w:tblStylePr w:type="firstRow">
      <w:rPr>
        <w:rFonts w:ascii="Arial" w:hAnsi="Arial"/>
        <w:b/>
        <w:color w:val="FFFFFF"/>
        <w:sz w:val="22"/>
      </w:rPr>
      <w:tcPr>
        <w:shd w:val="clear" w:color="auto" w:fill="9ABB59" w:themeFill="accent3" w:themeFillTint="FE"/>
        <w:tcBorders>
          <w:left w:val="single" w:color="9ABB59" w:sz="4" w:space="0" w:themeColor="accent3" w:themeTint="FE"/>
          <w:top w:val="single" w:color="9ABB59" w:sz="4" w:space="0" w:themeColor="accent3" w:themeTint="FE"/>
          <w:right w:val="single" w:color="9ABB59" w:sz="4" w:space="0" w:themeColor="accent3" w:themeTint="FE"/>
          <w:bottom w:val="single" w:color="9ABB59" w:sz="4" w:space="0" w:themeColor="accent3" w:themeTint="FE"/>
        </w:tcBorders>
      </w:tcPr>
    </w:tblStylePr>
    <w:tblStylePr w:type="lastCol">
      <w:rPr>
        <w:b/>
        <w:color w:val="404040"/>
      </w:rPr>
    </w:tblStylePr>
    <w:tblStylePr w:type="lastRow">
      <w:rPr>
        <w:b/>
        <w:color w:val="404040"/>
      </w:rPr>
      <w:tcPr>
        <w:tcBorders>
          <w:top w:val="single" w:color="9ABB59" w:sz="4" w:space="0" w:themeColor="accent3" w:themeTint="FE"/>
        </w:tcBorders>
      </w:tcPr>
    </w:tblStylePr>
  </w:style>
  <w:style w:type="table" w:styleId="455" w:customStyle="1">
    <w:name w:val="Grid Table 4 - Accent 4"/>
    <w:basedOn w:val="395"/>
    <w:uiPriority w:val="59"/>
    <w:pPr>
      <w:spacing w:lineRule="auto" w:line="240" w:after="0"/>
    </w:pPr>
    <w:tblPr>
      <w:tblStyleRowBandSize w:val="1"/>
      <w:tblStyleColBandSize w:val="1"/>
      <w:tblInd w:w="0" w:type="dxa"/>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V w:val="single" w:color="B7A7CA" w:sz="4" w:space="0" w:themeColor="accent4" w:themeTint="90"/>
        <w:insideH w:val="single" w:color="B7A7CA" w:sz="4" w:space="0" w:themeColor="accent4" w:themeTint="90"/>
      </w:tblBorders>
      <w:tblCellMar>
        <w:left w:w="108" w:type="dxa"/>
        <w:top w:w="0" w:type="dxa"/>
        <w:right w:w="108" w:type="dxa"/>
        <w:bottom w:w="0" w:type="dxa"/>
      </w:tblCellMar>
    </w:tblPr>
    <w:tblStylePr w:type="band1Horz">
      <w:rPr>
        <w:rFonts w:ascii="Arial" w:hAnsi="Arial"/>
        <w:color w:val="404040"/>
        <w:sz w:val="22"/>
      </w:rPr>
      <w:tcPr>
        <w:shd w:val="clear" w:color="auto" w:fill="E5DFEC" w:themeFill="accent4" w:themeFillTint="34"/>
      </w:tcPr>
    </w:tblStylePr>
    <w:tblStylePr w:type="band1Vert">
      <w:rPr>
        <w:rFonts w:ascii="Arial" w:hAnsi="Arial"/>
        <w:color w:val="404040"/>
        <w:sz w:val="22"/>
      </w:rPr>
      <w:tcPr>
        <w:shd w:val="clear" w:color="auto" w:fill="E5DFEC" w:themeFill="accent4" w:themeFillTint="34"/>
      </w:tcPr>
    </w:tblStylePr>
    <w:tblStylePr w:type="firstCol">
      <w:rPr>
        <w:b/>
        <w:color w:val="404040"/>
      </w:rPr>
    </w:tblStylePr>
    <w:tblStylePr w:type="firstRow">
      <w:rPr>
        <w:rFonts w:ascii="Arial" w:hAnsi="Arial"/>
        <w:b/>
        <w:color w:val="FFFFFF"/>
        <w:sz w:val="22"/>
      </w:rPr>
      <w:tcPr>
        <w:shd w:val="clear" w:color="auto" w:fill="B2A1C6" w:themeFill="accent4" w:themeFillTint="9A"/>
        <w:tc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tcBorders>
      </w:tcPr>
    </w:tblStylePr>
    <w:tblStylePr w:type="lastCol">
      <w:rPr>
        <w:b/>
        <w:color w:val="404040"/>
      </w:rPr>
    </w:tblStylePr>
    <w:tblStylePr w:type="lastRow">
      <w:rPr>
        <w:b/>
        <w:color w:val="404040"/>
      </w:rPr>
      <w:tcPr>
        <w:tcBorders>
          <w:top w:val="single" w:color="B2A1C6" w:sz="4" w:space="0" w:themeColor="accent4" w:themeTint="9A"/>
        </w:tcBorders>
      </w:tcPr>
    </w:tblStylePr>
  </w:style>
  <w:style w:type="table" w:styleId="456" w:customStyle="1">
    <w:name w:val="Grid Table 4 - Accent 5"/>
    <w:basedOn w:val="395"/>
    <w:uiPriority w:val="59"/>
    <w:pPr>
      <w:spacing w:lineRule="auto" w:line="240" w:after="0"/>
    </w:pPr>
    <w:tblPr>
      <w:tblStyleRowBandSize w:val="1"/>
      <w:tblStyleColBandSize w:val="1"/>
      <w:tblInd w:w="0" w:type="dxa"/>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CellMar>
        <w:left w:w="108" w:type="dxa"/>
        <w:top w:w="0" w:type="dxa"/>
        <w:right w:w="108" w:type="dxa"/>
        <w:bottom w:w="0" w:type="dxa"/>
      </w:tblCellMar>
    </w:tblPr>
    <w:tblStylePr w:type="band1Horz">
      <w:rPr>
        <w:rFonts w:ascii="Arial" w:hAnsi="Arial"/>
        <w:color w:val="404040"/>
        <w:sz w:val="22"/>
      </w:rPr>
      <w:tcPr>
        <w:shd w:val="clear" w:color="auto" w:fill="DAEEF3" w:themeFill="accent5" w:themeFillTint="34"/>
      </w:tcPr>
    </w:tblStylePr>
    <w:tblStylePr w:type="band1Vert">
      <w:rPr>
        <w:rFonts w:ascii="Arial" w:hAnsi="Arial"/>
        <w:color w:val="404040"/>
        <w:sz w:val="22"/>
      </w:rPr>
      <w:tcPr>
        <w:shd w:val="clear" w:color="auto" w:fill="DAEEF3" w:themeFill="accent5" w:themeFillTint="34"/>
      </w:tcPr>
    </w:tblStylePr>
    <w:tblStylePr w:type="firstCol">
      <w:rPr>
        <w:b/>
        <w:color w:val="404040"/>
      </w:rPr>
    </w:tblStylePr>
    <w:tblStylePr w:type="firstRow">
      <w:rPr>
        <w:rFonts w:ascii="Arial" w:hAnsi="Arial"/>
        <w:b/>
        <w:color w:val="FFFFFF"/>
        <w:sz w:val="22"/>
      </w:rPr>
      <w:tcPr>
        <w:shd w:val="clear" w:color="auto" w:fill="4BACC6" w:themeFill="accent5"/>
        <w:tcBorders>
          <w:left w:val="single" w:color="4BACC6" w:sz="4" w:space="0" w:themeColor="accent5"/>
          <w:top w:val="single" w:color="4BACC6" w:sz="4" w:space="0" w:themeColor="accent5"/>
          <w:right w:val="single" w:color="4BACC6" w:sz="4" w:space="0" w:themeColor="accent5"/>
          <w:bottom w:val="single" w:color="4BACC6" w:sz="4" w:space="0" w:themeColor="accent5"/>
        </w:tcBorders>
      </w:tcPr>
    </w:tblStylePr>
    <w:tblStylePr w:type="lastCol">
      <w:rPr>
        <w:b/>
        <w:color w:val="404040"/>
      </w:rPr>
    </w:tblStylePr>
    <w:tblStylePr w:type="lastRow">
      <w:rPr>
        <w:b/>
        <w:color w:val="404040"/>
      </w:rPr>
      <w:tcPr>
        <w:tcBorders>
          <w:top w:val="single" w:color="4BACC6" w:sz="4" w:space="0" w:themeColor="accent5"/>
        </w:tcBorders>
      </w:tcPr>
    </w:tblStylePr>
  </w:style>
  <w:style w:type="table" w:styleId="457" w:customStyle="1">
    <w:name w:val="Grid Table 4 - Accent 6"/>
    <w:basedOn w:val="395"/>
    <w:uiPriority w:val="59"/>
    <w:pPr>
      <w:spacing w:lineRule="auto" w:line="240" w:after="0"/>
    </w:pPr>
    <w:tblPr>
      <w:tblStyleRowBandSize w:val="1"/>
      <w:tblStyleColBandSize w:val="1"/>
      <w:tblInd w:w="0" w:type="dxa"/>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CellMar>
        <w:left w:w="108" w:type="dxa"/>
        <w:top w:w="0" w:type="dxa"/>
        <w:right w:w="108" w:type="dxa"/>
        <w:bottom w:w="0" w:type="dxa"/>
      </w:tblCellMar>
    </w:tblPr>
    <w:tblStylePr w:type="band1Horz">
      <w:rPr>
        <w:rFonts w:ascii="Arial" w:hAnsi="Arial"/>
        <w:color w:val="404040"/>
        <w:sz w:val="22"/>
      </w:rPr>
      <w:tcPr>
        <w:shd w:val="clear" w:color="auto" w:fill="FDE9D8" w:themeFill="accent6" w:themeFillTint="34"/>
      </w:tcPr>
    </w:tblStylePr>
    <w:tblStylePr w:type="band1Vert">
      <w:rPr>
        <w:rFonts w:ascii="Arial" w:hAnsi="Arial"/>
        <w:color w:val="404040"/>
        <w:sz w:val="22"/>
      </w:rPr>
      <w:tcPr>
        <w:shd w:val="clear" w:color="auto" w:fill="FDE9D8" w:themeFill="accent6" w:themeFillTint="34"/>
      </w:tcPr>
    </w:tblStylePr>
    <w:tblStylePr w:type="firstCol">
      <w:rPr>
        <w:b/>
        <w:color w:val="404040"/>
      </w:rPr>
    </w:tblStylePr>
    <w:tblStylePr w:type="firstRow">
      <w:rPr>
        <w:rFonts w:ascii="Arial" w:hAnsi="Arial"/>
        <w:b/>
        <w:color w:val="FFFFFF"/>
        <w:sz w:val="22"/>
      </w:rPr>
      <w:tcPr>
        <w:shd w:val="clear" w:color="auto" w:fill="F79646" w:themeFill="accent6"/>
        <w:tcBorders>
          <w:left w:val="single" w:color="F79646" w:sz="4" w:space="0" w:themeColor="accent6"/>
          <w:top w:val="single" w:color="F79646" w:sz="4" w:space="0" w:themeColor="accent6"/>
          <w:right w:val="single" w:color="F79646" w:sz="4" w:space="0" w:themeColor="accent6"/>
          <w:bottom w:val="single" w:color="F79646" w:sz="4" w:space="0" w:themeColor="accent6"/>
        </w:tcBorders>
      </w:tcPr>
    </w:tblStylePr>
    <w:tblStylePr w:type="lastCol">
      <w:rPr>
        <w:b/>
        <w:color w:val="404040"/>
      </w:rPr>
    </w:tblStylePr>
    <w:tblStylePr w:type="lastRow">
      <w:rPr>
        <w:b/>
        <w:color w:val="404040"/>
      </w:rPr>
      <w:tcPr>
        <w:tcBorders>
          <w:top w:val="single" w:color="F79646" w:sz="4" w:space="0" w:themeColor="accent6"/>
        </w:tcBorders>
      </w:tcPr>
    </w:tblStylePr>
  </w:style>
  <w:style w:type="table" w:styleId="458" w:customStyle="1">
    <w:name w:val="Grid Table 5 Dark"/>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BFBFBF" w:themeFill="text1" w:themeFillTint="40"/>
      <w:tblCellMar>
        <w:left w:w="108" w:type="dxa"/>
        <w:top w:w="0" w:type="dxa"/>
        <w:right w:w="108" w:type="dxa"/>
        <w:bottom w:w="0" w:type="dxa"/>
      </w:tblCellMar>
    </w:tblPr>
    <w:tblStylePr w:type="band1Horz">
      <w:tcPr>
        <w:shd w:val="clear" w:color="auto" w:fill="8A8A8A" w:themeFill="text1" w:themeFillTint="75"/>
      </w:tcPr>
    </w:tblStylePr>
    <w:tblStylePr w:type="band1Vert">
      <w:tcPr>
        <w:shd w:val="clear" w:color="auto" w:fill="8A8A8A" w:themeFill="text1" w:themeFillTint="75"/>
      </w:tcPr>
    </w:tblStylePr>
    <w:tblStylePr w:type="firstCol">
      <w:rPr>
        <w:rFonts w:ascii="Arial" w:hAnsi="Arial"/>
        <w:b/>
        <w:color w:val="FFFFFF"/>
        <w:sz w:val="22"/>
      </w:rPr>
      <w:tcPr>
        <w:shd w:val="clear" w:color="auto" w:fill="000000" w:themeFill="text1"/>
      </w:tcPr>
    </w:tblStylePr>
    <w:tblStylePr w:type="firstRow">
      <w:rPr>
        <w:rFonts w:ascii="Arial" w:hAnsi="Arial"/>
        <w:b/>
        <w:color w:val="FFFFFF"/>
        <w:sz w:val="22"/>
      </w:rPr>
      <w:tcPr>
        <w:shd w:val="clear" w:color="auto" w:fill="000000" w:themeFill="text1"/>
      </w:tcPr>
    </w:tblStylePr>
    <w:tblStylePr w:type="lastCol">
      <w:rPr>
        <w:rFonts w:ascii="Arial" w:hAnsi="Arial"/>
        <w:b/>
        <w:color w:val="FFFFFF"/>
        <w:sz w:val="22"/>
      </w:rPr>
      <w:tcPr>
        <w:shd w:val="clear" w:color="auto" w:fill="000000" w:themeFill="text1"/>
      </w:tcPr>
    </w:tblStylePr>
    <w:tblStylePr w:type="lastRow">
      <w:rPr>
        <w:rFonts w:ascii="Arial" w:hAnsi="Arial"/>
        <w:b/>
        <w:color w:val="FFFFFF"/>
        <w:sz w:val="22"/>
      </w:rPr>
      <w:tcPr>
        <w:shd w:val="clear" w:color="auto" w:fill="000000" w:themeFill="text1"/>
        <w:tcBorders>
          <w:top w:val="single" w:color="FFFFFF" w:sz="4" w:space="0" w:themeColor="light1"/>
        </w:tcBorders>
      </w:tcPr>
    </w:tblStylePr>
  </w:style>
  <w:style w:type="table" w:styleId="459" w:customStyle="1">
    <w:name w:val="Grid Table 5 Dark- Accent 1"/>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DAE5F1" w:themeFill="accent1" w:themeFillTint="34"/>
      <w:tblCellMar>
        <w:left w:w="108" w:type="dxa"/>
        <w:top w:w="0" w:type="dxa"/>
        <w:right w:w="108" w:type="dxa"/>
        <w:bottom w:w="0" w:type="dxa"/>
      </w:tblCellMar>
    </w:tblPr>
    <w:tblStylePr w:type="band1Horz">
      <w:tcPr>
        <w:shd w:val="clear" w:color="auto" w:fill="AEC4E0" w:themeFill="accent1" w:themeFillTint="75"/>
      </w:tcPr>
    </w:tblStylePr>
    <w:tblStylePr w:type="band1Vert">
      <w:tcPr>
        <w:shd w:val="clear" w:color="auto" w:fill="AEC4E0" w:themeFill="accent1" w:themeFillTint="75"/>
      </w:tcPr>
    </w:tblStylePr>
    <w:tblStylePr w:type="firstCol">
      <w:rPr>
        <w:rFonts w:ascii="Arial" w:hAnsi="Arial"/>
        <w:b/>
        <w:color w:val="FFFFFF"/>
        <w:sz w:val="22"/>
      </w:rPr>
      <w:tcPr>
        <w:shd w:val="clear" w:color="auto" w:fill="4F81BD" w:themeFill="accent1"/>
      </w:tcPr>
    </w:tblStylePr>
    <w:tblStylePr w:type="firstRow">
      <w:rPr>
        <w:rFonts w:ascii="Arial" w:hAnsi="Arial"/>
        <w:b/>
        <w:color w:val="FFFFFF"/>
        <w:sz w:val="22"/>
      </w:rPr>
      <w:tcPr>
        <w:shd w:val="clear" w:color="auto" w:fill="4F81BD" w:themeFill="accent1"/>
      </w:tcPr>
    </w:tblStylePr>
    <w:tblStylePr w:type="lastCol">
      <w:rPr>
        <w:rFonts w:ascii="Arial" w:hAnsi="Arial"/>
        <w:b/>
        <w:color w:val="FFFFFF"/>
        <w:sz w:val="22"/>
      </w:rPr>
      <w:tcPr>
        <w:shd w:val="clear" w:color="auto" w:fill="4F81BD" w:themeFill="accent1"/>
      </w:tcPr>
    </w:tblStylePr>
    <w:tblStylePr w:type="lastRow">
      <w:rPr>
        <w:rFonts w:ascii="Arial" w:hAnsi="Arial"/>
        <w:b/>
        <w:color w:val="FFFFFF"/>
        <w:sz w:val="22"/>
      </w:rPr>
      <w:tcPr>
        <w:shd w:val="clear" w:color="auto" w:fill="4F81BD" w:themeFill="accent1"/>
        <w:tcBorders>
          <w:top w:val="single" w:color="FFFFFF" w:sz="4" w:space="0" w:themeColor="light1"/>
        </w:tcBorders>
      </w:tcPr>
    </w:tblStylePr>
  </w:style>
  <w:style w:type="table" w:styleId="460" w:customStyle="1">
    <w:name w:val="Grid Table 5 Dark - Accent 2"/>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F2DCDC" w:themeFill="accent2" w:themeFillTint="32"/>
      <w:tblCellMar>
        <w:left w:w="108" w:type="dxa"/>
        <w:top w:w="0" w:type="dxa"/>
        <w:right w:w="108" w:type="dxa"/>
        <w:bottom w:w="0" w:type="dxa"/>
      </w:tblCellMar>
    </w:tblPr>
    <w:tblStylePr w:type="band1Horz">
      <w:tcPr>
        <w:shd w:val="clear" w:color="auto" w:fill="E2AEAD" w:themeFill="accent2" w:themeFillTint="75"/>
      </w:tcPr>
    </w:tblStylePr>
    <w:tblStylePr w:type="band1Vert">
      <w:tcPr>
        <w:shd w:val="clear" w:color="auto" w:fill="E2AEAD" w:themeFill="accent2" w:themeFillTint="75"/>
      </w:tcPr>
    </w:tblStylePr>
    <w:tblStylePr w:type="firstCol">
      <w:rPr>
        <w:rFonts w:ascii="Arial" w:hAnsi="Arial"/>
        <w:b/>
        <w:color w:val="FFFFFF"/>
        <w:sz w:val="22"/>
      </w:rPr>
      <w:tcPr>
        <w:shd w:val="clear" w:color="auto" w:fill="C0504D" w:themeFill="accent2"/>
      </w:tcPr>
    </w:tblStylePr>
    <w:tblStylePr w:type="firstRow">
      <w:rPr>
        <w:rFonts w:ascii="Arial" w:hAnsi="Arial"/>
        <w:b/>
        <w:color w:val="FFFFFF"/>
        <w:sz w:val="22"/>
      </w:rPr>
      <w:tcPr>
        <w:shd w:val="clear" w:color="auto" w:fill="C0504D" w:themeFill="accent2"/>
      </w:tcPr>
    </w:tblStylePr>
    <w:tblStylePr w:type="lastCol">
      <w:rPr>
        <w:rFonts w:ascii="Arial" w:hAnsi="Arial"/>
        <w:b/>
        <w:color w:val="FFFFFF"/>
        <w:sz w:val="22"/>
      </w:rPr>
      <w:tcPr>
        <w:shd w:val="clear" w:color="auto" w:fill="C0504D" w:themeFill="accent2"/>
      </w:tcPr>
    </w:tblStylePr>
    <w:tblStylePr w:type="lastRow">
      <w:rPr>
        <w:rFonts w:ascii="Arial" w:hAnsi="Arial"/>
        <w:b/>
        <w:color w:val="FFFFFF"/>
        <w:sz w:val="22"/>
      </w:rPr>
      <w:tcPr>
        <w:shd w:val="clear" w:color="auto" w:fill="C0504D" w:themeFill="accent2"/>
        <w:tcBorders>
          <w:top w:val="single" w:color="FFFFFF" w:sz="4" w:space="0" w:themeColor="light1"/>
        </w:tcBorders>
      </w:tcPr>
    </w:tblStylePr>
  </w:style>
  <w:style w:type="table" w:styleId="461" w:customStyle="1">
    <w:name w:val="Grid Table 5 Dark - Accent 3"/>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EAF1DC" w:themeFill="accent3" w:themeFillTint="34"/>
      <w:tblCellMar>
        <w:left w:w="108" w:type="dxa"/>
        <w:top w:w="0" w:type="dxa"/>
        <w:right w:w="108" w:type="dxa"/>
        <w:bottom w:w="0" w:type="dxa"/>
      </w:tblCellMar>
    </w:tblPr>
    <w:tblStylePr w:type="band1Horz">
      <w:tcPr>
        <w:shd w:val="clear" w:color="auto" w:fill="D0DFB2" w:themeFill="accent3" w:themeFillTint="75"/>
      </w:tcPr>
    </w:tblStylePr>
    <w:tblStylePr w:type="band1Vert">
      <w:tcPr>
        <w:shd w:val="clear" w:color="auto" w:fill="D0DFB2" w:themeFill="accent3" w:themeFillTint="75"/>
      </w:tcPr>
    </w:tblStylePr>
    <w:tblStylePr w:type="firstCol">
      <w:rPr>
        <w:rFonts w:ascii="Arial" w:hAnsi="Arial"/>
        <w:b/>
        <w:color w:val="FFFFFF"/>
        <w:sz w:val="22"/>
      </w:rPr>
      <w:tcPr>
        <w:shd w:val="clear" w:color="auto" w:fill="9BBB59" w:themeFill="accent3"/>
      </w:tcPr>
    </w:tblStylePr>
    <w:tblStylePr w:type="firstRow">
      <w:rPr>
        <w:rFonts w:ascii="Arial" w:hAnsi="Arial"/>
        <w:b/>
        <w:color w:val="FFFFFF"/>
        <w:sz w:val="22"/>
      </w:rPr>
      <w:tcPr>
        <w:shd w:val="clear" w:color="auto" w:fill="9BBB59" w:themeFill="accent3"/>
      </w:tcPr>
    </w:tblStylePr>
    <w:tblStylePr w:type="lastCol">
      <w:rPr>
        <w:rFonts w:ascii="Arial" w:hAnsi="Arial"/>
        <w:b/>
        <w:color w:val="FFFFFF"/>
        <w:sz w:val="22"/>
      </w:rPr>
      <w:tcPr>
        <w:shd w:val="clear" w:color="auto" w:fill="9BBB59" w:themeFill="accent3"/>
      </w:tcPr>
    </w:tblStylePr>
    <w:tblStylePr w:type="lastRow">
      <w:rPr>
        <w:rFonts w:ascii="Arial" w:hAnsi="Arial"/>
        <w:b/>
        <w:color w:val="FFFFFF"/>
        <w:sz w:val="22"/>
      </w:rPr>
      <w:tcPr>
        <w:shd w:val="clear" w:color="auto" w:fill="9BBB59" w:themeFill="accent3"/>
        <w:tcBorders>
          <w:top w:val="single" w:color="FFFFFF" w:sz="4" w:space="0" w:themeColor="light1"/>
        </w:tcBorders>
      </w:tcPr>
    </w:tblStylePr>
  </w:style>
  <w:style w:type="table" w:styleId="462" w:customStyle="1">
    <w:name w:val="Grid Table 5 Dark- Accent 4"/>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E5DFEC" w:themeFill="accent4" w:themeFillTint="34"/>
      <w:tblCellMar>
        <w:left w:w="108" w:type="dxa"/>
        <w:top w:w="0" w:type="dxa"/>
        <w:right w:w="108" w:type="dxa"/>
        <w:bottom w:w="0" w:type="dxa"/>
      </w:tblCellMar>
    </w:tblPr>
    <w:tblStylePr w:type="band1Horz">
      <w:tcPr>
        <w:shd w:val="clear" w:color="auto" w:fill="C4B7D4" w:themeFill="accent4" w:themeFillTint="75"/>
      </w:tcPr>
    </w:tblStylePr>
    <w:tblStylePr w:type="band1Vert">
      <w:tcPr>
        <w:shd w:val="clear" w:color="auto" w:fill="C4B7D4" w:themeFill="accent4" w:themeFillTint="75"/>
      </w:tcPr>
    </w:tblStylePr>
    <w:tblStylePr w:type="firstCol">
      <w:rPr>
        <w:rFonts w:ascii="Arial" w:hAnsi="Arial"/>
        <w:b/>
        <w:color w:val="FFFFFF"/>
        <w:sz w:val="22"/>
      </w:rPr>
      <w:tcPr>
        <w:shd w:val="clear" w:color="auto" w:fill="8064A2" w:themeFill="accent4"/>
      </w:tcPr>
    </w:tblStylePr>
    <w:tblStylePr w:type="firstRow">
      <w:rPr>
        <w:rFonts w:ascii="Arial" w:hAnsi="Arial"/>
        <w:b/>
        <w:color w:val="FFFFFF"/>
        <w:sz w:val="22"/>
      </w:rPr>
      <w:tcPr>
        <w:shd w:val="clear" w:color="auto" w:fill="8064A2" w:themeFill="accent4"/>
      </w:tcPr>
    </w:tblStylePr>
    <w:tblStylePr w:type="lastCol">
      <w:rPr>
        <w:rFonts w:ascii="Arial" w:hAnsi="Arial"/>
        <w:b/>
        <w:color w:val="FFFFFF"/>
        <w:sz w:val="22"/>
      </w:rPr>
      <w:tcPr>
        <w:shd w:val="clear" w:color="auto" w:fill="8064A2" w:themeFill="accent4"/>
      </w:tcPr>
    </w:tblStylePr>
    <w:tblStylePr w:type="lastRow">
      <w:rPr>
        <w:rFonts w:ascii="Arial" w:hAnsi="Arial"/>
        <w:b/>
        <w:color w:val="FFFFFF"/>
        <w:sz w:val="22"/>
      </w:rPr>
      <w:tcPr>
        <w:shd w:val="clear" w:color="auto" w:fill="8064A2" w:themeFill="accent4"/>
        <w:tcBorders>
          <w:top w:val="single" w:color="FFFFFF" w:sz="4" w:space="0" w:themeColor="light1"/>
        </w:tcBorders>
      </w:tcPr>
    </w:tblStylePr>
  </w:style>
  <w:style w:type="table" w:styleId="463" w:customStyle="1">
    <w:name w:val="Grid Table 5 Dark - Accent 5"/>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DAEEF3" w:themeFill="accent5" w:themeFillTint="34"/>
      <w:tblCellMar>
        <w:left w:w="108" w:type="dxa"/>
        <w:top w:w="0" w:type="dxa"/>
        <w:right w:w="108" w:type="dxa"/>
        <w:bottom w:w="0" w:type="dxa"/>
      </w:tblCellMar>
    </w:tblPr>
    <w:tblStylePr w:type="band1Horz">
      <w:tcPr>
        <w:shd w:val="clear" w:color="auto" w:fill="ACD8E4" w:themeFill="accent5" w:themeFillTint="75"/>
      </w:tcPr>
    </w:tblStylePr>
    <w:tblStylePr w:type="band1Vert">
      <w:tcPr>
        <w:shd w:val="clear" w:color="auto" w:fill="ACD8E4" w:themeFill="accent5" w:themeFillTint="75"/>
      </w:tcPr>
    </w:tblStylePr>
    <w:tblStylePr w:type="firstCol">
      <w:rPr>
        <w:rFonts w:ascii="Arial" w:hAnsi="Arial"/>
        <w:b/>
        <w:color w:val="FFFFFF"/>
        <w:sz w:val="22"/>
      </w:rPr>
      <w:tcPr>
        <w:shd w:val="clear" w:color="auto" w:fill="4BACC6" w:themeFill="accent5"/>
      </w:tcPr>
    </w:tblStylePr>
    <w:tblStylePr w:type="firstRow">
      <w:rPr>
        <w:rFonts w:ascii="Arial" w:hAnsi="Arial"/>
        <w:b/>
        <w:color w:val="FFFFFF"/>
        <w:sz w:val="22"/>
      </w:rPr>
      <w:tcPr>
        <w:shd w:val="clear" w:color="auto" w:fill="4BACC6" w:themeFill="accent5"/>
      </w:tcPr>
    </w:tblStylePr>
    <w:tblStylePr w:type="lastCol">
      <w:rPr>
        <w:rFonts w:ascii="Arial" w:hAnsi="Arial"/>
        <w:b/>
        <w:color w:val="FFFFFF"/>
        <w:sz w:val="22"/>
      </w:rPr>
      <w:tcPr>
        <w:shd w:val="clear" w:color="auto" w:fill="4BACC6" w:themeFill="accent5"/>
      </w:tcPr>
    </w:tblStylePr>
    <w:tblStylePr w:type="lastRow">
      <w:rPr>
        <w:rFonts w:ascii="Arial" w:hAnsi="Arial"/>
        <w:b/>
        <w:color w:val="FFFFFF"/>
        <w:sz w:val="22"/>
      </w:rPr>
      <w:tcPr>
        <w:shd w:val="clear" w:color="auto" w:fill="4BACC6" w:themeFill="accent5"/>
        <w:tcBorders>
          <w:top w:val="single" w:color="FFFFFF" w:sz="4" w:space="0" w:themeColor="light1"/>
        </w:tcBorders>
      </w:tcPr>
    </w:tblStylePr>
  </w:style>
  <w:style w:type="table" w:styleId="464" w:customStyle="1">
    <w:name w:val="Grid Table 5 Dark - Accent 6"/>
    <w:basedOn w:val="395"/>
    <w:uiPriority w:val="99"/>
    <w:pPr>
      <w:spacing w:lineRule="auto" w:line="240" w:after="0"/>
    </w:pPr>
    <w:tblPr>
      <w:tblStyleRowBandSize w:val="1"/>
      <w:tblStyleColBandSize w:val="1"/>
      <w:tblInd w:w="0" w:type="dxa"/>
      <w:tblBorders>
        <w:left w:val="single" w:color="FFFFFF" w:sz="4" w:space="0" w:themeColor="light1"/>
        <w:top w:val="single" w:color="FFFFFF" w:sz="4" w:space="0" w:themeColor="light1"/>
        <w:right w:val="single" w:color="FFFFFF" w:sz="4" w:space="0" w:themeColor="light1"/>
        <w:bottom w:val="single" w:color="FFFFFF" w:sz="4" w:space="0" w:themeColor="light1"/>
        <w:insideV w:val="single" w:color="FFFFFF" w:sz="4" w:space="0" w:themeColor="light1"/>
        <w:insideH w:val="single" w:color="FFFFFF" w:sz="4" w:space="0" w:themeColor="light1"/>
      </w:tblBorders>
      <w:shd w:val="clear" w:color="auto" w:fill="FDE9D8" w:themeFill="accent6" w:themeFillTint="34"/>
      <w:tblCellMar>
        <w:left w:w="108" w:type="dxa"/>
        <w:top w:w="0" w:type="dxa"/>
        <w:right w:w="108" w:type="dxa"/>
        <w:bottom w:w="0" w:type="dxa"/>
      </w:tblCellMar>
    </w:tblPr>
    <w:tblStylePr w:type="band1Horz">
      <w:tcPr>
        <w:shd w:val="clear" w:color="auto" w:fill="FBCEAA" w:themeFill="accent6" w:themeFillTint="75"/>
      </w:tcPr>
    </w:tblStylePr>
    <w:tblStylePr w:type="band1Vert">
      <w:tcPr>
        <w:shd w:val="clear" w:color="auto" w:fill="FBCEAA" w:themeFill="accent6" w:themeFillTint="75"/>
      </w:tcPr>
    </w:tblStylePr>
    <w:tblStylePr w:type="firstCol">
      <w:rPr>
        <w:rFonts w:ascii="Arial" w:hAnsi="Arial"/>
        <w:b/>
        <w:color w:val="FFFFFF"/>
        <w:sz w:val="22"/>
      </w:rPr>
      <w:tcPr>
        <w:shd w:val="clear" w:color="auto" w:fill="F79646" w:themeFill="accent6"/>
      </w:tcPr>
    </w:tblStylePr>
    <w:tblStylePr w:type="firstRow">
      <w:rPr>
        <w:rFonts w:ascii="Arial" w:hAnsi="Arial"/>
        <w:b/>
        <w:color w:val="FFFFFF"/>
        <w:sz w:val="22"/>
      </w:rPr>
      <w:tcPr>
        <w:shd w:val="clear" w:color="auto" w:fill="F79646" w:themeFill="accent6"/>
      </w:tcPr>
    </w:tblStylePr>
    <w:tblStylePr w:type="lastCol">
      <w:rPr>
        <w:rFonts w:ascii="Arial" w:hAnsi="Arial"/>
        <w:b/>
        <w:color w:val="FFFFFF"/>
        <w:sz w:val="22"/>
      </w:rPr>
      <w:tcPr>
        <w:shd w:val="clear" w:color="auto" w:fill="F79646" w:themeFill="accent6"/>
      </w:tcPr>
    </w:tblStylePr>
    <w:tblStylePr w:type="lastRow">
      <w:rPr>
        <w:rFonts w:ascii="Arial" w:hAnsi="Arial"/>
        <w:b/>
        <w:color w:val="FFFFFF"/>
        <w:sz w:val="22"/>
      </w:rPr>
      <w:tcPr>
        <w:shd w:val="clear" w:color="auto" w:fill="F79646" w:themeFill="accent6"/>
        <w:tcBorders>
          <w:top w:val="single" w:color="FFFFFF" w:sz="4" w:space="0" w:themeColor="light1"/>
        </w:tcBorders>
      </w:tcPr>
    </w:tblStylePr>
  </w:style>
  <w:style w:type="table" w:styleId="465" w:customStyle="1">
    <w:name w:val="Grid Table 6 Colorful"/>
    <w:basedOn w:val="395"/>
    <w:uiPriority w:val="99"/>
    <w:pPr>
      <w:spacing w:lineRule="auto" w:line="240" w:after="0"/>
    </w:pPr>
    <w:tblPr>
      <w:tblStyleRowBandSize w:val="1"/>
      <w:tblStyleColBandSize w:val="1"/>
      <w:tblInd w:w="0" w:type="dxa"/>
      <w:tblBorders>
        <w:left w:val="single" w:color="7F7F7F" w:sz="4" w:space="0" w:themeColor="text1" w:themeTint="80"/>
        <w:top w:val="single" w:color="7F7F7F" w:sz="4" w:space="0" w:themeColor="text1" w:themeTint="80"/>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auto" w:fill="CBCBCB" w:themeFill="text1" w:themeFillTint="34"/>
      </w:tcPr>
    </w:tblStylePr>
    <w:tblStylePr w:type="band1Vert">
      <w:tcPr>
        <w:shd w:val="clear" w:color="auto"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sz="12" w:space="0" w:themeColor="text1" w:themeTint="8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466" w:customStyle="1">
    <w:name w:val="Grid Table 6 Colorful - Accent 1"/>
    <w:basedOn w:val="395"/>
    <w:uiPriority w:val="99"/>
    <w:pPr>
      <w:spacing w:lineRule="auto" w:line="240" w:after="0"/>
    </w:pPr>
    <w:tblPr>
      <w:tblStyleRowBandSize w:val="1"/>
      <w:tblStyleColBandSize w:val="1"/>
      <w:tblInd w:w="0" w:type="dxa"/>
      <w:tblBorders>
        <w:left w:val="single" w:color="A6BFDD" w:sz="4" w:space="0" w:themeColor="accent1" w:themeTint="80"/>
        <w:top w:val="single" w:color="A6BFDD" w:sz="4" w:space="0" w:themeColor="accent1" w:themeTint="80"/>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auto" w:fill="DAE5F1" w:themeFill="accent1" w:themeFillTint="34"/>
      </w:tcPr>
    </w:tblStylePr>
    <w:tblStylePr w:type="band1Vert">
      <w:tcPr>
        <w:shd w:val="clear" w:color="auto"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sz="12" w:space="0" w:themeColor="accent1" w:themeTint="8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467" w:customStyle="1">
    <w:name w:val="Grid Table 6 Colorful - Accent 2"/>
    <w:basedOn w:val="395"/>
    <w:uiPriority w:val="99"/>
    <w:pPr>
      <w:spacing w:lineRule="auto" w:line="240" w:after="0"/>
    </w:pPr>
    <w:tblPr>
      <w:tblStyleRowBandSize w:val="1"/>
      <w:tblStyleColBandSize w:val="1"/>
      <w:tblInd w:w="0" w:type="dxa"/>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auto" w:fill="F2DCDC" w:themeFill="accent2" w:themeFillTint="32"/>
      </w:tcPr>
    </w:tblStylePr>
    <w:tblStylePr w:type="band1Vert">
      <w:tcPr>
        <w:shd w:val="clear" w:color="auto"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12" w:space="0" w:themeColor="accent2" w:themeTint="97"/>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468" w:customStyle="1">
    <w:name w:val="Grid Table 6 Colorful - Accent 3"/>
    <w:basedOn w:val="395"/>
    <w:uiPriority w:val="99"/>
    <w:pPr>
      <w:spacing w:lineRule="auto" w:line="240" w:after="0"/>
    </w:pPr>
    <w:tblPr>
      <w:tblStyleRowBandSize w:val="1"/>
      <w:tblStyleColBandSize w:val="1"/>
      <w:tblInd w:w="0" w:type="dxa"/>
      <w:tblBorders>
        <w:left w:val="single" w:color="9ABB59" w:sz="4" w:space="0" w:themeColor="accent3" w:themeTint="FE"/>
        <w:top w:val="single" w:color="9ABB59" w:sz="4" w:space="0" w:themeColor="accent3" w:themeTint="FE"/>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auto" w:fill="EAF1DC" w:themeFill="accent3" w:themeFillTint="34"/>
      </w:tcPr>
    </w:tblStylePr>
    <w:tblStylePr w:type="band1Vert">
      <w:tcPr>
        <w:shd w:val="clear" w:color="auto"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sz="12" w:space="0" w:themeColor="accent3" w:themeTint="FE"/>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469" w:customStyle="1">
    <w:name w:val="Grid Table 6 Colorful - Accent 4"/>
    <w:basedOn w:val="395"/>
    <w:uiPriority w:val="99"/>
    <w:pPr>
      <w:spacing w:lineRule="auto" w:line="240" w:after="0"/>
    </w:pPr>
    <w:tblPr>
      <w:tblStyleRowBandSize w:val="1"/>
      <w:tblStyleColBandSize w:val="1"/>
      <w:tblInd w:w="0" w:type="dxa"/>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auto" w:fill="E5DFEC" w:themeFill="accent4" w:themeFillTint="34"/>
      </w:tcPr>
    </w:tblStylePr>
    <w:tblStylePr w:type="band1Vert">
      <w:tcPr>
        <w:shd w:val="clear" w:color="auto"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12" w:space="0" w:themeColor="accent4" w:themeTint="9A"/>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470" w:customStyle="1">
    <w:name w:val="Grid Table 6 Colorful - Accent 5"/>
    <w:basedOn w:val="395"/>
    <w:uiPriority w:val="99"/>
    <w:pPr>
      <w:spacing w:lineRule="auto" w:line="240" w:after="0"/>
    </w:pPr>
    <w:tblPr>
      <w:tblStyleRowBandSize w:val="1"/>
      <w:tblStyleColBandSize w:val="1"/>
      <w:tblInd w:w="0" w:type="dxa"/>
      <w:tblBorders>
        <w:left w:val="single" w:color="4BACC6" w:sz="4" w:space="0" w:themeColor="accent5"/>
        <w:top w:val="single" w:color="4BACC6" w:sz="4" w:space="0" w:themeColor="accent5"/>
        <w:right w:val="single" w:color="4BACC6" w:sz="4" w:space="0" w:themeColor="accent5"/>
        <w:bottom w:val="single" w:color="4BACC6" w:sz="4" w:space="0" w:themeColor="accent5"/>
        <w:insideV w:val="single" w:color="4BACC6" w:sz="4" w:space="0" w:themeColor="accent5"/>
        <w:insideH w:val="single" w:color="4BACC6" w:sz="4" w:space="0" w:themeColor="accent5"/>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auto" w:fill="DAEEF3" w:themeFill="accent5" w:themeFillTint="34"/>
      </w:tcPr>
    </w:tblStylePr>
    <w:tblStylePr w:type="band1Vert">
      <w:tcPr>
        <w:shd w:val="clear" w:color="auto"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sz="12" w:space="0" w:themeColor="accent5"/>
        </w:tcBorders>
      </w:tcPr>
    </w:tblStylePr>
    <w:tblStylePr w:type="lastCol">
      <w:rPr>
        <w:b/>
        <w:color w:val="266779" w:themeColor="accent5" w:themeShade="95"/>
      </w:rPr>
    </w:tblStylePr>
    <w:tblStylePr w:type="lastRow">
      <w:rPr>
        <w:b/>
        <w:color w:val="266779" w:themeColor="accent5" w:themeShade="95"/>
      </w:rPr>
    </w:tblStylePr>
  </w:style>
  <w:style w:type="table" w:styleId="471" w:customStyle="1">
    <w:name w:val="Grid Table 6 Colorful - Accent 6"/>
    <w:basedOn w:val="395"/>
    <w:uiPriority w:val="99"/>
    <w:pPr>
      <w:spacing w:lineRule="auto" w:line="240" w:after="0"/>
    </w:pPr>
    <w:tblPr>
      <w:tblStyleRowBandSize w:val="1"/>
      <w:tblStyleColBandSize w:val="1"/>
      <w:tblInd w:w="0" w:type="dxa"/>
      <w:tblBorders>
        <w:left w:val="single" w:color="F79646" w:sz="4" w:space="0" w:themeColor="accent6"/>
        <w:top w:val="single" w:color="F79646" w:sz="4" w:space="0" w:themeColor="accent6"/>
        <w:right w:val="single" w:color="F79646" w:sz="4" w:space="0" w:themeColor="accent6"/>
        <w:bottom w:val="single" w:color="F79646" w:sz="4" w:space="0" w:themeColor="accent6"/>
        <w:insideV w:val="single" w:color="F79646" w:sz="4" w:space="0" w:themeColor="accent6"/>
        <w:insideH w:val="single" w:color="F79646" w:sz="4" w:space="0" w:themeColor="accent6"/>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auto" w:fill="FDE9D8" w:themeFill="accent6" w:themeFillTint="34"/>
      </w:tcPr>
    </w:tblStylePr>
    <w:tblStylePr w:type="band1Vert">
      <w:tcPr>
        <w:shd w:val="clear" w:color="auto"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sz="12" w:space="0" w:themeColor="accent6"/>
        </w:tcBorders>
      </w:tcPr>
    </w:tblStylePr>
    <w:tblStylePr w:type="lastCol">
      <w:rPr>
        <w:b/>
        <w:color w:val="266779" w:themeColor="accent5" w:themeShade="95"/>
      </w:rPr>
    </w:tblStylePr>
    <w:tblStylePr w:type="lastRow">
      <w:rPr>
        <w:b/>
        <w:color w:val="266779" w:themeColor="accent5" w:themeShade="95"/>
      </w:rPr>
    </w:tblStylePr>
  </w:style>
  <w:style w:type="table" w:styleId="472" w:customStyle="1">
    <w:name w:val="Grid Table 7 Colorful"/>
    <w:basedOn w:val="395"/>
    <w:uiPriority w:val="99"/>
    <w:pPr>
      <w:spacing w:lineRule="auto" w:line="240" w:after="0"/>
    </w:pPr>
    <w:tblPr>
      <w:tblStyleRowBandSize w:val="1"/>
      <w:tblStyleColBandSize w:val="1"/>
      <w:tblInd w:w="0" w:type="dxa"/>
      <w:tblBorders>
        <w:right w:val="single" w:color="7F7F7F" w:sz="4" w:space="0" w:themeColor="text1" w:themeTint="80"/>
        <w:bottom w:val="single" w:color="7F7F7F" w:sz="4" w:space="0" w:themeColor="text1" w:themeTint="80"/>
        <w:insideV w:val="single" w:color="7F7F7F" w:sz="4" w:space="0" w:themeColor="text1" w:themeTint="80"/>
        <w:insideH w:val="single" w:color="7F7F7F" w:sz="4" w:space="0" w:themeColor="text1" w:themeTint="8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auto" w:fill="F2F2F2" w:themeFill="text1" w:themeFillTint="00"/>
      </w:tcPr>
    </w:tblStylePr>
    <w:tblStylePr w:type="band1Vert">
      <w:tcPr>
        <w:shd w:val="clear" w:color="auto" w:fill="F2F2F2" w:themeFill="text1" w:themeFillTint="0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auto" w:fill="FFFFFF"/>
        <w:tcBorders>
          <w:left w:val="none" w:sz="0" w:space="0" w:color="auto"/>
          <w:top w:val="none" w:sz="0" w:space="0" w:color="auto"/>
          <w:right w:val="single" w:color="7F7F7F" w:sz="4" w:space="0" w:themeColor="text1" w:themeTint="80"/>
          <w:bottom w:val="none" w:sz="0" w:space="0" w:color="auto"/>
        </w:tcBorders>
      </w:tcPr>
    </w:tblStylePr>
    <w:tblStylePr w:type="firstRow">
      <w:rPr>
        <w:rFonts w:ascii="Arial" w:hAnsi="Arial"/>
        <w:b/>
        <w:color w:val="7F7F7F" w:themeColor="text1" w:themeTint="80" w:themeShade="95"/>
        <w:sz w:val="22"/>
      </w:rPr>
      <w:tcPr>
        <w:shd w:val="clear" w:color="auto" w:fill="FFFFFF" w:themeFill="light1"/>
        <w:tcBorders>
          <w:left w:val="none" w:sz="0" w:space="0" w:color="auto"/>
          <w:top w:val="none" w:sz="0" w:space="0" w:color="auto"/>
          <w:right w:val="none" w:sz="0" w:space="0" w:color="auto"/>
          <w:bottom w:val="single" w:color="7F7F7F" w:sz="4" w:space="0" w:themeColor="text1" w:themeTint="80"/>
        </w:tcBorders>
      </w:tcPr>
    </w:tblStylePr>
    <w:tblStylePr w:type="lastCol">
      <w:rPr>
        <w:rFonts w:ascii="Arial" w:hAnsi="Arial"/>
        <w:i/>
        <w:color w:val="7F7F7F" w:themeColor="text1" w:themeTint="80" w:themeShade="95"/>
        <w:sz w:val="22"/>
      </w:rPr>
      <w:tcPr>
        <w:shd w:val="clear" w:color="auto" w:fill="FFFFFF"/>
        <w:tcBorders>
          <w:left w:val="single" w:color="7F7F7F" w:sz="4" w:space="0" w:themeColor="text1" w:themeTint="80"/>
          <w:top w:val="none" w:sz="0" w:space="0" w:color="auto"/>
          <w:right w:val="none" w:sz="0" w:space="0" w:color="auto"/>
          <w:bottom w:val="none" w:sz="0" w:space="0" w:color="auto"/>
        </w:tcBorders>
      </w:tcPr>
    </w:tblStylePr>
    <w:tblStylePr w:type="lastRow">
      <w:rPr>
        <w:rFonts w:ascii="Arial" w:hAnsi="Arial"/>
        <w:b/>
        <w:color w:val="7F7F7F" w:themeColor="text1" w:themeTint="80" w:themeShade="95"/>
        <w:sz w:val="22"/>
      </w:rPr>
      <w:tcPr>
        <w:shd w:val="clear" w:color="auto" w:fill="FFFFFF" w:themeFill="light1"/>
        <w:tcBorders>
          <w:left w:val="none" w:sz="0" w:space="0" w:color="auto"/>
          <w:top w:val="single" w:color="7F7F7F" w:sz="4" w:space="0" w:themeColor="text1" w:themeTint="80"/>
          <w:right w:val="none" w:sz="0" w:space="0" w:color="auto"/>
          <w:bottom w:val="none" w:sz="0" w:space="0" w:color="auto"/>
        </w:tcBorders>
      </w:tcPr>
    </w:tblStylePr>
  </w:style>
  <w:style w:type="table" w:styleId="473" w:customStyle="1">
    <w:name w:val="Grid Table 7 Colorful - Accent 1"/>
    <w:basedOn w:val="395"/>
    <w:uiPriority w:val="99"/>
    <w:pPr>
      <w:spacing w:lineRule="auto" w:line="240" w:after="0"/>
    </w:pPr>
    <w:tblPr>
      <w:tblStyleRowBandSize w:val="1"/>
      <w:tblStyleColBandSize w:val="1"/>
      <w:tblInd w:w="0" w:type="dxa"/>
      <w:tblBorders>
        <w:right w:val="single" w:color="A6BFDD" w:sz="4" w:space="0" w:themeColor="accent1" w:themeTint="80"/>
        <w:bottom w:val="single" w:color="A6BFDD" w:sz="4" w:space="0" w:themeColor="accent1" w:themeTint="80"/>
        <w:insideV w:val="single" w:color="A6BFDD" w:sz="4" w:space="0" w:themeColor="accent1" w:themeTint="80"/>
        <w:insideH w:val="single" w:color="A6BFDD" w:sz="4" w:space="0" w:themeColor="accent1" w:themeTint="80"/>
      </w:tblBorders>
      <w:tblCellMar>
        <w:left w:w="108" w:type="dxa"/>
        <w:top w:w="0" w:type="dxa"/>
        <w:right w:w="108" w:type="dxa"/>
        <w:bottom w:w="0" w:type="dxa"/>
      </w:tblCellMar>
    </w:tblPr>
    <w:tblStylePr w:type="band1Horz">
      <w:rPr>
        <w:rFonts w:ascii="Arial" w:hAnsi="Arial"/>
        <w:color w:val="A6BFDD" w:themeColor="accent1" w:themeTint="80" w:themeShade="95"/>
        <w:sz w:val="22"/>
      </w:rPr>
      <w:tcPr>
        <w:shd w:val="clear" w:color="auto" w:fill="DAE5F1" w:themeFill="accent1" w:themeFillTint="34"/>
      </w:tcPr>
    </w:tblStylePr>
    <w:tblStylePr w:type="band1Vert">
      <w:tcPr>
        <w:shd w:val="clear" w:color="auto"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auto" w:fill="FFFFFF"/>
        <w:tcBorders>
          <w:left w:val="none" w:sz="0" w:space="0" w:color="auto"/>
          <w:top w:val="none" w:sz="0" w:space="0" w:color="auto"/>
          <w:right w:val="single" w:color="A6BFDD" w:sz="4" w:space="0" w:themeColor="accent1" w:themeTint="80"/>
          <w:bottom w:val="none" w:sz="0" w:space="0" w:color="auto"/>
        </w:tcBorders>
      </w:tcPr>
    </w:tblStylePr>
    <w:tblStylePr w:type="firstRow">
      <w:rPr>
        <w:rFonts w:ascii="Arial" w:hAnsi="Arial"/>
        <w:b/>
        <w:color w:val="A6BFDD" w:themeColor="accent1" w:themeTint="80" w:themeShade="95"/>
        <w:sz w:val="22"/>
      </w:rPr>
      <w:tcPr>
        <w:shd w:val="clear" w:color="auto" w:fill="FFFFFF" w:themeFill="light1"/>
        <w:tcBorders>
          <w:left w:val="none" w:sz="0" w:space="0" w:color="auto"/>
          <w:top w:val="none" w:sz="0" w:space="0" w:color="auto"/>
          <w:right w:val="none" w:sz="0" w:space="0" w:color="auto"/>
          <w:bottom w:val="single" w:color="A6BFDD" w:sz="4" w:space="0" w:themeColor="accent1" w:themeTint="80"/>
        </w:tcBorders>
      </w:tcPr>
    </w:tblStylePr>
    <w:tblStylePr w:type="lastCol">
      <w:rPr>
        <w:rFonts w:ascii="Arial" w:hAnsi="Arial"/>
        <w:i/>
        <w:color w:val="A6BFDD" w:themeColor="accent1" w:themeTint="80" w:themeShade="95"/>
        <w:sz w:val="22"/>
      </w:rPr>
      <w:tcPr>
        <w:shd w:val="clear" w:color="auto" w:fill="FFFFFF"/>
        <w:tcBorders>
          <w:left w:val="single" w:color="A6BFDD" w:sz="4" w:space="0" w:themeColor="accent1" w:themeTint="80"/>
          <w:top w:val="none" w:sz="0" w:space="0" w:color="auto"/>
          <w:right w:val="none" w:sz="0" w:space="0" w:color="auto"/>
          <w:bottom w:val="none" w:sz="0" w:space="0" w:color="auto"/>
        </w:tcBorders>
      </w:tcPr>
    </w:tblStylePr>
    <w:tblStylePr w:type="lastRow">
      <w:rPr>
        <w:rFonts w:ascii="Arial" w:hAnsi="Arial"/>
        <w:b/>
        <w:color w:val="A6BFDD" w:themeColor="accent1" w:themeTint="80" w:themeShade="95"/>
        <w:sz w:val="22"/>
      </w:rPr>
      <w:tcPr>
        <w:shd w:val="clear" w:color="auto" w:fill="FFFFFF" w:themeFill="light1"/>
        <w:tcBorders>
          <w:left w:val="none" w:sz="0" w:space="0" w:color="auto"/>
          <w:top w:val="single" w:color="A6BFDD" w:sz="4" w:space="0" w:themeColor="accent1" w:themeTint="80"/>
          <w:right w:val="none" w:sz="0" w:space="0" w:color="auto"/>
          <w:bottom w:val="none" w:sz="0" w:space="0" w:color="auto"/>
        </w:tcBorders>
      </w:tcPr>
    </w:tblStylePr>
  </w:style>
  <w:style w:type="table" w:styleId="474" w:customStyle="1">
    <w:name w:val="Grid Table 7 Colorful - Accent 2"/>
    <w:basedOn w:val="395"/>
    <w:uiPriority w:val="99"/>
    <w:pPr>
      <w:spacing w:lineRule="auto" w:line="240" w:after="0"/>
    </w:pPr>
    <w:tblPr>
      <w:tblStyleRowBandSize w:val="1"/>
      <w:tblStyleColBandSize w:val="1"/>
      <w:tblInd w:w="0" w:type="dxa"/>
      <w:tblBorders>
        <w:right w:val="single" w:color="D99695" w:sz="4" w:space="0" w:themeColor="accent2" w:themeTint="97"/>
        <w:bottom w:val="single" w:color="D99695" w:sz="4" w:space="0" w:themeColor="accent2" w:themeTint="97"/>
        <w:insideV w:val="single" w:color="D99695" w:sz="4" w:space="0" w:themeColor="accent2" w:themeTint="97"/>
        <w:insideH w:val="single" w:color="D99695" w:sz="4" w:space="0" w:themeColor="accent2" w:themeTint="97"/>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auto" w:fill="F2DCDC" w:themeFill="accent2" w:themeFillTint="32"/>
      </w:tcPr>
    </w:tblStylePr>
    <w:tblStylePr w:type="band1Vert">
      <w:tcPr>
        <w:shd w:val="clear" w:color="auto"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auto" w:fill="FFFFFF"/>
        <w:tcBorders>
          <w:left w:val="none" w:sz="0" w:space="0" w:color="auto"/>
          <w:top w:val="none" w:sz="0" w:space="0" w:color="auto"/>
          <w:right w:val="single" w:color="D99695" w:sz="4" w:space="0" w:themeColor="accent2" w:themeTint="97"/>
          <w:bottom w:val="none" w:sz="0" w:space="0" w:color="auto"/>
        </w:tcBorders>
      </w:tcPr>
    </w:tblStylePr>
    <w:tblStylePr w:type="firstRow">
      <w:rPr>
        <w:rFonts w:ascii="Arial" w:hAnsi="Arial"/>
        <w:b/>
        <w:color w:val="D99695" w:themeColor="accent2" w:themeTint="97" w:themeShade="95"/>
        <w:sz w:val="22"/>
      </w:rPr>
      <w:tcPr>
        <w:shd w:val="clear" w:color="auto" w:fill="FFFFFF" w:themeFill="light1"/>
        <w:tcBorders>
          <w:left w:val="none" w:sz="0" w:space="0" w:color="auto"/>
          <w:top w:val="none" w:sz="0" w:space="0" w:color="auto"/>
          <w:right w:val="none" w:sz="0" w:space="0" w:color="auto"/>
          <w:bottom w:val="single" w:color="D99695" w:sz="4" w:space="0" w:themeColor="accent2" w:themeTint="97"/>
        </w:tcBorders>
      </w:tcPr>
    </w:tblStylePr>
    <w:tblStylePr w:type="lastCol">
      <w:rPr>
        <w:rFonts w:ascii="Arial" w:hAnsi="Arial"/>
        <w:i/>
        <w:color w:val="D99695" w:themeColor="accent2" w:themeTint="97" w:themeShade="95"/>
        <w:sz w:val="22"/>
      </w:rPr>
      <w:tcPr>
        <w:shd w:val="clear" w:color="auto" w:fill="FFFFFF"/>
        <w:tcBorders>
          <w:left w:val="single" w:color="D99695" w:sz="4" w:space="0" w:themeColor="accent2" w:themeTint="97"/>
          <w:top w:val="none" w:sz="0" w:space="0" w:color="auto"/>
          <w:right w:val="none" w:sz="0" w:space="0" w:color="auto"/>
          <w:bottom w:val="none" w:sz="0" w:space="0" w:color="auto"/>
        </w:tcBorders>
      </w:tcPr>
    </w:tblStylePr>
    <w:tblStylePr w:type="lastRow">
      <w:rPr>
        <w:rFonts w:ascii="Arial" w:hAnsi="Arial"/>
        <w:b/>
        <w:color w:val="D99695" w:themeColor="accent2" w:themeTint="97" w:themeShade="95"/>
        <w:sz w:val="22"/>
      </w:rPr>
      <w:tcPr>
        <w:shd w:val="clear" w:color="auto" w:fill="FFFFFF" w:themeFill="light1"/>
        <w:tcBorders>
          <w:left w:val="none" w:sz="0" w:space="0" w:color="auto"/>
          <w:top w:val="single" w:color="D99695" w:sz="4" w:space="0" w:themeColor="accent2" w:themeTint="97"/>
          <w:right w:val="none" w:sz="0" w:space="0" w:color="auto"/>
          <w:bottom w:val="none" w:sz="0" w:space="0" w:color="auto"/>
        </w:tcBorders>
      </w:tcPr>
    </w:tblStylePr>
  </w:style>
  <w:style w:type="table" w:styleId="475" w:customStyle="1">
    <w:name w:val="Grid Table 7 Colorful - Accent 3"/>
    <w:basedOn w:val="395"/>
    <w:uiPriority w:val="99"/>
    <w:pPr>
      <w:spacing w:lineRule="auto" w:line="240" w:after="0"/>
    </w:pPr>
    <w:tblPr>
      <w:tblStyleRowBandSize w:val="1"/>
      <w:tblStyleColBandSize w:val="1"/>
      <w:tblInd w:w="0" w:type="dxa"/>
      <w:tblBorders>
        <w:right w:val="single" w:color="9ABB59" w:sz="4" w:space="0" w:themeColor="accent3" w:themeTint="FE"/>
        <w:bottom w:val="single" w:color="9ABB59" w:sz="4" w:space="0" w:themeColor="accent3" w:themeTint="FE"/>
        <w:insideV w:val="single" w:color="9ABB59" w:sz="4" w:space="0" w:themeColor="accent3" w:themeTint="FE"/>
        <w:insideH w:val="single" w:color="9ABB59" w:sz="4" w:space="0" w:themeColor="accent3" w:themeTint="FE"/>
      </w:tblBorders>
      <w:tblCellMar>
        <w:left w:w="108" w:type="dxa"/>
        <w:top w:w="0" w:type="dxa"/>
        <w:right w:w="108" w:type="dxa"/>
        <w:bottom w:w="0" w:type="dxa"/>
      </w:tblCellMar>
    </w:tblPr>
    <w:tblStylePr w:type="band1Horz">
      <w:rPr>
        <w:rFonts w:ascii="Arial" w:hAnsi="Arial"/>
        <w:color w:val="9ABB59" w:themeColor="accent3" w:themeTint="FE" w:themeShade="95"/>
        <w:sz w:val="22"/>
      </w:rPr>
      <w:tcPr>
        <w:shd w:val="clear" w:color="auto" w:fill="EAF1DC" w:themeFill="accent3" w:themeFillTint="34"/>
      </w:tcPr>
    </w:tblStylePr>
    <w:tblStylePr w:type="band1Vert">
      <w:tcPr>
        <w:shd w:val="clear" w:color="auto"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auto" w:fill="FFFFFF"/>
        <w:tcBorders>
          <w:left w:val="none" w:sz="0" w:space="0" w:color="auto"/>
          <w:top w:val="none" w:sz="0" w:space="0" w:color="auto"/>
          <w:right w:val="single" w:color="9ABB59" w:sz="4" w:space="0" w:themeColor="accent3" w:themeTint="FE"/>
          <w:bottom w:val="none" w:sz="0" w:space="0" w:color="auto"/>
        </w:tcBorders>
      </w:tcPr>
    </w:tblStylePr>
    <w:tblStylePr w:type="firstRow">
      <w:rPr>
        <w:rFonts w:ascii="Arial" w:hAnsi="Arial"/>
        <w:b/>
        <w:color w:val="9ABB59" w:themeColor="accent3" w:themeTint="FE" w:themeShade="95"/>
        <w:sz w:val="22"/>
      </w:rPr>
      <w:tcPr>
        <w:shd w:val="clear" w:color="auto" w:fill="FFFFFF" w:themeFill="light1"/>
        <w:tcBorders>
          <w:left w:val="none" w:sz="0" w:space="0" w:color="auto"/>
          <w:top w:val="none" w:sz="0" w:space="0" w:color="auto"/>
          <w:right w:val="none" w:sz="0" w:space="0" w:color="auto"/>
          <w:bottom w:val="single" w:color="9ABB59" w:sz="4" w:space="0" w:themeColor="accent3" w:themeTint="FE"/>
        </w:tcBorders>
      </w:tcPr>
    </w:tblStylePr>
    <w:tblStylePr w:type="lastCol">
      <w:rPr>
        <w:rFonts w:ascii="Arial" w:hAnsi="Arial"/>
        <w:i/>
        <w:color w:val="9ABB59" w:themeColor="accent3" w:themeTint="FE" w:themeShade="95"/>
        <w:sz w:val="22"/>
      </w:rPr>
      <w:tcPr>
        <w:shd w:val="clear" w:color="auto" w:fill="FFFFFF"/>
        <w:tcBorders>
          <w:left w:val="single" w:color="9ABB59" w:sz="4" w:space="0" w:themeColor="accent3" w:themeTint="FE"/>
          <w:top w:val="none" w:sz="0" w:space="0" w:color="auto"/>
          <w:right w:val="none" w:sz="0" w:space="0" w:color="auto"/>
          <w:bottom w:val="none" w:sz="0" w:space="0" w:color="auto"/>
        </w:tcBorders>
      </w:tcPr>
    </w:tblStylePr>
    <w:tblStylePr w:type="lastRow">
      <w:rPr>
        <w:rFonts w:ascii="Arial" w:hAnsi="Arial"/>
        <w:b/>
        <w:color w:val="9ABB59" w:themeColor="accent3" w:themeTint="FE" w:themeShade="95"/>
        <w:sz w:val="22"/>
      </w:rPr>
      <w:tcPr>
        <w:shd w:val="clear" w:color="auto" w:fill="FFFFFF" w:themeFill="light1"/>
        <w:tcBorders>
          <w:left w:val="none" w:sz="0" w:space="0" w:color="auto"/>
          <w:top w:val="single" w:color="9ABB59" w:sz="4" w:space="0" w:themeColor="accent3" w:themeTint="FE"/>
          <w:right w:val="none" w:sz="0" w:space="0" w:color="auto"/>
          <w:bottom w:val="none" w:sz="0" w:space="0" w:color="auto"/>
        </w:tcBorders>
      </w:tcPr>
    </w:tblStylePr>
  </w:style>
  <w:style w:type="table" w:styleId="476" w:customStyle="1">
    <w:name w:val="Grid Table 7 Colorful - Accent 4"/>
    <w:basedOn w:val="395"/>
    <w:uiPriority w:val="99"/>
    <w:pPr>
      <w:spacing w:lineRule="auto" w:line="240" w:after="0"/>
    </w:pPr>
    <w:tblPr>
      <w:tblStyleRowBandSize w:val="1"/>
      <w:tblStyleColBandSize w:val="1"/>
      <w:tblInd w:w="0" w:type="dxa"/>
      <w:tblBorders>
        <w:right w:val="single" w:color="B2A1C6" w:sz="4" w:space="0" w:themeColor="accent4" w:themeTint="9A"/>
        <w:bottom w:val="single" w:color="B2A1C6" w:sz="4" w:space="0" w:themeColor="accent4" w:themeTint="9A"/>
        <w:insideV w:val="single" w:color="B2A1C6" w:sz="4" w:space="0" w:themeColor="accent4" w:themeTint="9A"/>
        <w:insideH w:val="single" w:color="B2A1C6" w:sz="4" w:space="0" w:themeColor="accent4" w:themeTint="9A"/>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auto" w:fill="E5DFEC" w:themeFill="accent4" w:themeFillTint="34"/>
      </w:tcPr>
    </w:tblStylePr>
    <w:tblStylePr w:type="band1Vert">
      <w:tcPr>
        <w:shd w:val="clear" w:color="auto"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auto" w:fill="FFFFFF"/>
        <w:tcBorders>
          <w:left w:val="none" w:sz="0" w:space="0" w:color="auto"/>
          <w:top w:val="none" w:sz="0" w:space="0" w:color="auto"/>
          <w:right w:val="single" w:color="B2A1C6" w:sz="4" w:space="0" w:themeColor="accent4" w:themeTint="9A"/>
          <w:bottom w:val="none" w:sz="0" w:space="0" w:color="auto"/>
        </w:tcBorders>
      </w:tcPr>
    </w:tblStylePr>
    <w:tblStylePr w:type="firstRow">
      <w:rPr>
        <w:rFonts w:ascii="Arial" w:hAnsi="Arial"/>
        <w:b/>
        <w:color w:val="B2A1C6" w:themeColor="accent4" w:themeTint="9A" w:themeShade="95"/>
        <w:sz w:val="22"/>
      </w:rPr>
      <w:tcPr>
        <w:shd w:val="clear" w:color="auto" w:fill="FFFFFF" w:themeFill="light1"/>
        <w:tcBorders>
          <w:left w:val="none" w:sz="0" w:space="0" w:color="auto"/>
          <w:top w:val="none" w:sz="0" w:space="0" w:color="auto"/>
          <w:right w:val="none" w:sz="0" w:space="0" w:color="auto"/>
          <w:bottom w:val="single" w:color="B2A1C6" w:sz="4" w:space="0" w:themeColor="accent4" w:themeTint="9A"/>
        </w:tcBorders>
      </w:tcPr>
    </w:tblStylePr>
    <w:tblStylePr w:type="lastCol">
      <w:rPr>
        <w:rFonts w:ascii="Arial" w:hAnsi="Arial"/>
        <w:i/>
        <w:color w:val="B2A1C6" w:themeColor="accent4" w:themeTint="9A" w:themeShade="95"/>
        <w:sz w:val="22"/>
      </w:rPr>
      <w:tcPr>
        <w:shd w:val="clear" w:color="auto" w:fill="FFFFFF"/>
        <w:tcBorders>
          <w:left w:val="single" w:color="B2A1C6" w:sz="4" w:space="0" w:themeColor="accent4" w:themeTint="9A"/>
          <w:top w:val="none" w:sz="0" w:space="0" w:color="auto"/>
          <w:right w:val="none" w:sz="0" w:space="0" w:color="auto"/>
          <w:bottom w:val="none" w:sz="0" w:space="0" w:color="auto"/>
        </w:tcBorders>
      </w:tcPr>
    </w:tblStylePr>
    <w:tblStylePr w:type="lastRow">
      <w:rPr>
        <w:rFonts w:ascii="Arial" w:hAnsi="Arial"/>
        <w:b/>
        <w:color w:val="B2A1C6" w:themeColor="accent4" w:themeTint="9A" w:themeShade="95"/>
        <w:sz w:val="22"/>
      </w:rPr>
      <w:tcPr>
        <w:shd w:val="clear" w:color="auto" w:fill="FFFFFF" w:themeFill="light1"/>
        <w:tcBorders>
          <w:left w:val="none" w:sz="0" w:space="0" w:color="auto"/>
          <w:top w:val="single" w:color="B2A1C6" w:sz="4" w:space="0" w:themeColor="accent4" w:themeTint="9A"/>
          <w:right w:val="none" w:sz="0" w:space="0" w:color="auto"/>
          <w:bottom w:val="none" w:sz="0" w:space="0" w:color="auto"/>
        </w:tcBorders>
      </w:tcPr>
    </w:tblStylePr>
  </w:style>
  <w:style w:type="table" w:styleId="477" w:customStyle="1">
    <w:name w:val="Grid Table 7 Colorful - Accent 5"/>
    <w:basedOn w:val="395"/>
    <w:uiPriority w:val="99"/>
    <w:pPr>
      <w:spacing w:lineRule="auto" w:line="240" w:after="0"/>
    </w:pPr>
    <w:tblPr>
      <w:tblStyleRowBandSize w:val="1"/>
      <w:tblStyleColBandSize w:val="1"/>
      <w:tblInd w:w="0" w:type="dxa"/>
      <w:tblBorders>
        <w:right w:val="single" w:color="99D0DE" w:sz="4" w:space="0" w:themeColor="accent5" w:themeTint="90"/>
        <w:bottom w:val="single" w:color="99D0DE" w:sz="4" w:space="0" w:themeColor="accent5" w:themeTint="90"/>
        <w:insideV w:val="single" w:color="99D0DE" w:sz="4" w:space="0" w:themeColor="accent5" w:themeTint="90"/>
        <w:insideH w:val="single" w:color="99D0DE" w:sz="4" w:space="0" w:themeColor="accent5" w:themeTint="90"/>
      </w:tblBorders>
      <w:tblCellMar>
        <w:left w:w="108" w:type="dxa"/>
        <w:top w:w="0" w:type="dxa"/>
        <w:right w:w="108" w:type="dxa"/>
        <w:bottom w:w="0" w:type="dxa"/>
      </w:tblCellMar>
    </w:tblPr>
    <w:tblStylePr w:type="band1Horz">
      <w:rPr>
        <w:rFonts w:ascii="Arial" w:hAnsi="Arial"/>
        <w:color w:val="266779" w:themeColor="accent5" w:themeShade="95"/>
        <w:sz w:val="22"/>
      </w:rPr>
      <w:tcPr>
        <w:shd w:val="clear" w:color="auto" w:fill="DAEEF3" w:themeFill="accent5" w:themeFillTint="34"/>
      </w:tcPr>
    </w:tblStylePr>
    <w:tblStylePr w:type="band1Vert">
      <w:tcPr>
        <w:shd w:val="clear" w:color="auto"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auto" w:fill="FFFFFF"/>
        <w:tcBorders>
          <w:left w:val="none" w:sz="0" w:space="0" w:color="auto"/>
          <w:top w:val="none" w:sz="0" w:space="0" w:color="auto"/>
          <w:right w:val="single" w:color="99D0DE" w:sz="4" w:space="0" w:themeColor="accent5" w:themeTint="90"/>
          <w:bottom w:val="none" w:sz="0" w:space="0" w:color="auto"/>
        </w:tcBorders>
      </w:tcPr>
    </w:tblStylePr>
    <w:tblStylePr w:type="firstRow">
      <w:rPr>
        <w:rFonts w:ascii="Arial" w:hAnsi="Arial"/>
        <w:b/>
        <w:color w:val="266779" w:themeColor="accent5" w:themeShade="95"/>
        <w:sz w:val="22"/>
      </w:rPr>
      <w:tcPr>
        <w:shd w:val="clear" w:color="auto" w:fill="FFFFFF" w:themeFill="light1"/>
        <w:tcBorders>
          <w:left w:val="none" w:sz="0" w:space="0" w:color="auto"/>
          <w:top w:val="none" w:sz="0" w:space="0" w:color="auto"/>
          <w:right w:val="none" w:sz="0" w:space="0" w:color="auto"/>
          <w:bottom w:val="single" w:color="99D0DE" w:sz="4" w:space="0" w:themeColor="accent5" w:themeTint="90"/>
        </w:tcBorders>
      </w:tcPr>
    </w:tblStylePr>
    <w:tblStylePr w:type="lastCol">
      <w:rPr>
        <w:rFonts w:ascii="Arial" w:hAnsi="Arial"/>
        <w:i/>
        <w:color w:val="266779" w:themeColor="accent5" w:themeShade="95"/>
        <w:sz w:val="22"/>
      </w:rPr>
      <w:tcPr>
        <w:shd w:val="clear" w:color="auto" w:fill="FFFFFF"/>
        <w:tcBorders>
          <w:left w:val="single" w:color="99D0DE" w:sz="4" w:space="0" w:themeColor="accent5" w:themeTint="90"/>
          <w:top w:val="none" w:sz="0" w:space="0" w:color="auto"/>
          <w:right w:val="none" w:sz="0" w:space="0" w:color="auto"/>
          <w:bottom w:val="none" w:sz="0" w:space="0" w:color="auto"/>
        </w:tcBorders>
      </w:tcPr>
    </w:tblStylePr>
    <w:tblStylePr w:type="lastRow">
      <w:rPr>
        <w:rFonts w:ascii="Arial" w:hAnsi="Arial"/>
        <w:b/>
        <w:color w:val="266779" w:themeColor="accent5" w:themeShade="95"/>
        <w:sz w:val="22"/>
      </w:rPr>
      <w:tcPr>
        <w:shd w:val="clear" w:color="auto" w:fill="FFFFFF" w:themeFill="light1"/>
        <w:tcBorders>
          <w:left w:val="none" w:sz="0" w:space="0" w:color="auto"/>
          <w:top w:val="single" w:color="99D0DE" w:sz="4" w:space="0" w:themeColor="accent5" w:themeTint="90"/>
          <w:right w:val="none" w:sz="0" w:space="0" w:color="auto"/>
          <w:bottom w:val="none" w:sz="0" w:space="0" w:color="auto"/>
        </w:tcBorders>
      </w:tcPr>
    </w:tblStylePr>
  </w:style>
  <w:style w:type="table" w:styleId="478" w:customStyle="1">
    <w:name w:val="Grid Table 7 Colorful - Accent 6"/>
    <w:basedOn w:val="395"/>
    <w:uiPriority w:val="99"/>
    <w:pPr>
      <w:spacing w:lineRule="auto" w:line="240" w:after="0"/>
    </w:pPr>
    <w:tblPr>
      <w:tblStyleRowBandSize w:val="1"/>
      <w:tblStyleColBandSize w:val="1"/>
      <w:tblInd w:w="0" w:type="dxa"/>
      <w:tblBorders>
        <w:right w:val="single" w:color="FAC396" w:sz="4" w:space="0" w:themeColor="accent6" w:themeTint="90"/>
        <w:bottom w:val="single" w:color="FAC396" w:sz="4" w:space="0" w:themeColor="accent6" w:themeTint="90"/>
        <w:insideV w:val="single" w:color="FAC396" w:sz="4" w:space="0" w:themeColor="accent6" w:themeTint="90"/>
        <w:insideH w:val="single" w:color="FAC396" w:sz="4" w:space="0" w:themeColor="accent6" w:themeTint="90"/>
      </w:tblBorders>
      <w:tblCellMar>
        <w:left w:w="108" w:type="dxa"/>
        <w:top w:w="0" w:type="dxa"/>
        <w:right w:w="108" w:type="dxa"/>
        <w:bottom w:w="0" w:type="dxa"/>
      </w:tblCellMar>
    </w:tblPr>
    <w:tblStylePr w:type="band1Horz">
      <w:rPr>
        <w:rFonts w:ascii="Arial" w:hAnsi="Arial"/>
        <w:color w:val="B15407" w:themeColor="accent6" w:themeShade="95"/>
        <w:sz w:val="22"/>
      </w:rPr>
      <w:tcPr>
        <w:shd w:val="clear" w:color="auto" w:fill="FDE9D8" w:themeFill="accent6" w:themeFillTint="34"/>
      </w:tcPr>
    </w:tblStylePr>
    <w:tblStylePr w:type="band1Vert">
      <w:tcPr>
        <w:shd w:val="clear" w:color="auto"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auto" w:fill="FFFFFF"/>
        <w:tcBorders>
          <w:left w:val="none" w:sz="0" w:space="0" w:color="auto"/>
          <w:top w:val="none" w:sz="0" w:space="0" w:color="auto"/>
          <w:right w:val="single" w:color="FAC396" w:sz="4" w:space="0" w:themeColor="accent6" w:themeTint="90"/>
          <w:bottom w:val="none" w:sz="0" w:space="0" w:color="auto"/>
        </w:tcBorders>
      </w:tcPr>
    </w:tblStylePr>
    <w:tblStylePr w:type="firstRow">
      <w:rPr>
        <w:rFonts w:ascii="Arial" w:hAnsi="Arial"/>
        <w:b/>
        <w:color w:val="B15407" w:themeColor="accent6" w:themeShade="95"/>
        <w:sz w:val="22"/>
      </w:rPr>
      <w:tcPr>
        <w:shd w:val="clear" w:color="auto" w:fill="FFFFFF" w:themeFill="light1"/>
        <w:tcBorders>
          <w:left w:val="none" w:sz="0" w:space="0" w:color="auto"/>
          <w:top w:val="none" w:sz="0" w:space="0" w:color="auto"/>
          <w:right w:val="none" w:sz="0" w:space="0" w:color="auto"/>
          <w:bottom w:val="single" w:color="FAC396" w:sz="4" w:space="0" w:themeColor="accent6" w:themeTint="90"/>
        </w:tcBorders>
      </w:tcPr>
    </w:tblStylePr>
    <w:tblStylePr w:type="lastCol">
      <w:rPr>
        <w:rFonts w:ascii="Arial" w:hAnsi="Arial"/>
        <w:i/>
        <w:color w:val="B15407" w:themeColor="accent6" w:themeShade="95"/>
        <w:sz w:val="22"/>
      </w:rPr>
      <w:tcPr>
        <w:shd w:val="clear" w:color="auto" w:fill="FFFFFF"/>
        <w:tcBorders>
          <w:left w:val="single" w:color="FAC396" w:sz="4" w:space="0" w:themeColor="accent6" w:themeTint="90"/>
          <w:top w:val="none" w:sz="0" w:space="0" w:color="auto"/>
          <w:right w:val="none" w:sz="0" w:space="0" w:color="auto"/>
          <w:bottom w:val="none" w:sz="0" w:space="0" w:color="auto"/>
        </w:tcBorders>
      </w:tcPr>
    </w:tblStylePr>
    <w:tblStylePr w:type="lastRow">
      <w:rPr>
        <w:rFonts w:ascii="Arial" w:hAnsi="Arial"/>
        <w:b/>
        <w:color w:val="B15407" w:themeColor="accent6" w:themeShade="95"/>
        <w:sz w:val="22"/>
      </w:rPr>
      <w:tcPr>
        <w:shd w:val="clear" w:color="auto" w:fill="FFFFFF" w:themeFill="light1"/>
        <w:tcBorders>
          <w:left w:val="none" w:sz="0" w:space="0" w:color="auto"/>
          <w:top w:val="single" w:color="FAC396" w:sz="4" w:space="0" w:themeColor="accent6" w:themeTint="90"/>
          <w:right w:val="none" w:sz="0" w:space="0" w:color="auto"/>
          <w:bottom w:val="none" w:sz="0" w:space="0" w:color="auto"/>
        </w:tcBorders>
      </w:tcPr>
    </w:tblStylePr>
  </w:style>
  <w:style w:type="table" w:styleId="479" w:customStyle="1">
    <w:name w:val="List Table 1 Light"/>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BFBFBF" w:themeFill="text1" w:themeFillTint="40"/>
      </w:tcPr>
    </w:tblStylePr>
    <w:tblStylePr w:type="band1Vert">
      <w:tcPr>
        <w:shd w:val="clear" w:color="auto" w:fill="BFBFB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480" w:customStyle="1">
    <w:name w:val="List Table 1 Light - Accent 1"/>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D2DFEE" w:themeFill="accent1" w:themeFillTint="40"/>
      </w:tcPr>
    </w:tblStylePr>
    <w:tblStylePr w:type="band1Vert">
      <w:tcPr>
        <w:shd w:val="clear" w:color="auto" w:fill="D2DFEE"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F81BD" w:sz="4" w:space="0" w:themeColor="accent1"/>
        </w:tcBorders>
      </w:tcPr>
    </w:tblStylePr>
    <w:tblStylePr w:type="lastCol">
      <w:rPr>
        <w:b/>
        <w:color w:val="404040"/>
      </w:rPr>
    </w:tblStylePr>
    <w:tblStylePr w:type="lastRow">
      <w:rPr>
        <w:b/>
        <w:color w:val="404040"/>
      </w:rPr>
      <w:tcPr>
        <w:tcBorders>
          <w:left w:val="none" w:color="000000" w:sz="4" w:space="0"/>
          <w:top w:val="single" w:color="4F81BD" w:sz="4" w:space="0" w:themeColor="accent1"/>
          <w:right w:val="none" w:color="000000" w:sz="4" w:space="0"/>
          <w:bottom w:val="none" w:color="000000" w:sz="4" w:space="0"/>
        </w:tcBorders>
      </w:tcPr>
    </w:tblStylePr>
  </w:style>
  <w:style w:type="table" w:styleId="481" w:customStyle="1">
    <w:name w:val="List Table 1 Light - Accent 2"/>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EFD2D2" w:themeFill="accent2" w:themeFillTint="40"/>
      </w:tcPr>
    </w:tblStylePr>
    <w:tblStylePr w:type="band1Vert">
      <w:tcPr>
        <w:shd w:val="clear" w:color="auto" w:fill="EFD2D2"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C0504D" w:sz="4" w:space="0" w:themeColor="accent2"/>
        </w:tcBorders>
      </w:tcPr>
    </w:tblStylePr>
    <w:tblStylePr w:type="lastCol">
      <w:rPr>
        <w:b/>
        <w:color w:val="404040"/>
      </w:rPr>
    </w:tblStylePr>
    <w:tblStylePr w:type="lastRow">
      <w:rPr>
        <w:b/>
        <w:color w:val="404040"/>
      </w:rPr>
      <w:tcPr>
        <w:tcBorders>
          <w:left w:val="none" w:color="000000" w:sz="4" w:space="0"/>
          <w:top w:val="single" w:color="C0504D" w:sz="4" w:space="0" w:themeColor="accent2"/>
          <w:right w:val="none" w:color="000000" w:sz="4" w:space="0"/>
          <w:bottom w:val="none" w:color="000000" w:sz="4" w:space="0"/>
        </w:tcBorders>
      </w:tcPr>
    </w:tblStylePr>
  </w:style>
  <w:style w:type="table" w:styleId="482" w:customStyle="1">
    <w:name w:val="List Table 1 Light - Accent 3"/>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E5EED5" w:themeFill="accent3" w:themeFillTint="40"/>
      </w:tcPr>
    </w:tblStylePr>
    <w:tblStylePr w:type="band1Vert">
      <w:tcPr>
        <w:shd w:val="clear" w:color="auto" w:fill="E5EED5"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9BBB59" w:sz="4" w:space="0" w:themeColor="accent3"/>
        </w:tcBorders>
      </w:tcPr>
    </w:tblStylePr>
    <w:tblStylePr w:type="lastCol">
      <w:rPr>
        <w:b/>
        <w:color w:val="404040"/>
      </w:rPr>
    </w:tblStylePr>
    <w:tblStylePr w:type="lastRow">
      <w:rPr>
        <w:b/>
        <w:color w:val="404040"/>
      </w:rPr>
      <w:tcPr>
        <w:tcBorders>
          <w:left w:val="none" w:color="000000" w:sz="4" w:space="0"/>
          <w:top w:val="single" w:color="9BBB59" w:sz="4" w:space="0" w:themeColor="accent3"/>
          <w:right w:val="none" w:color="000000" w:sz="4" w:space="0"/>
          <w:bottom w:val="none" w:color="000000" w:sz="4" w:space="0"/>
        </w:tcBorders>
      </w:tcPr>
    </w:tblStylePr>
  </w:style>
  <w:style w:type="table" w:styleId="483" w:customStyle="1">
    <w:name w:val="List Table 1 Light - Accent 4"/>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DFD8E7" w:themeFill="accent4" w:themeFillTint="40"/>
      </w:tcPr>
    </w:tblStylePr>
    <w:tblStylePr w:type="band1Vert">
      <w:tcPr>
        <w:shd w:val="clear" w:color="auto" w:fill="DFD8E7"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8064A2" w:sz="4" w:space="0" w:themeColor="accent4"/>
        </w:tcBorders>
      </w:tcPr>
    </w:tblStylePr>
    <w:tblStylePr w:type="lastCol">
      <w:rPr>
        <w:b/>
        <w:color w:val="404040"/>
      </w:rPr>
    </w:tblStylePr>
    <w:tblStylePr w:type="lastRow">
      <w:rPr>
        <w:b/>
        <w:color w:val="404040"/>
      </w:rPr>
      <w:tcPr>
        <w:tcBorders>
          <w:left w:val="none" w:color="000000" w:sz="4" w:space="0"/>
          <w:top w:val="single" w:color="8064A2" w:sz="4" w:space="0" w:themeColor="accent4"/>
          <w:right w:val="none" w:color="000000" w:sz="4" w:space="0"/>
          <w:bottom w:val="none" w:color="000000" w:sz="4" w:space="0"/>
        </w:tcBorders>
      </w:tcPr>
    </w:tblStylePr>
  </w:style>
  <w:style w:type="table" w:styleId="484" w:customStyle="1">
    <w:name w:val="List Table 1 Light - Accent 5"/>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D1EAF0" w:themeFill="accent5" w:themeFillTint="40"/>
      </w:tcPr>
    </w:tblStylePr>
    <w:tblStylePr w:type="band1Vert">
      <w:tcPr>
        <w:shd w:val="clear" w:color="auto" w:fill="D1EAF0"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4BACC6" w:sz="4" w:space="0" w:themeColor="accent5"/>
        </w:tcBorders>
      </w:tcPr>
    </w:tblStylePr>
    <w:tblStylePr w:type="lastCol">
      <w:rPr>
        <w:b/>
        <w:color w:val="404040"/>
      </w:rPr>
    </w:tblStylePr>
    <w:tblStylePr w:type="lastRow">
      <w:rPr>
        <w:b/>
        <w:color w:val="404040"/>
      </w:rPr>
      <w:tcPr>
        <w:tcBorders>
          <w:left w:val="none" w:color="000000" w:sz="4" w:space="0"/>
          <w:top w:val="single" w:color="4BACC6" w:sz="4" w:space="0" w:themeColor="accent5"/>
          <w:right w:val="none" w:color="000000" w:sz="4" w:space="0"/>
          <w:bottom w:val="none" w:color="000000" w:sz="4" w:space="0"/>
        </w:tcBorders>
      </w:tcPr>
    </w:tblStylePr>
  </w:style>
  <w:style w:type="table" w:styleId="485" w:customStyle="1">
    <w:name w:val="List Table 1 Light - Accent 6"/>
    <w:basedOn w:val="395"/>
    <w:uiPriority w:val="99"/>
    <w:pPr>
      <w:spacing w:lineRule="auto" w:line="240" w:after="0"/>
    </w:pPr>
    <w:tblPr>
      <w:tblStyleRowBandSize w:val="1"/>
      <w:tblStyleColBandSize w:val="1"/>
      <w:tblInd w:w="0" w:type="dxa"/>
      <w:tblCellMar>
        <w:left w:w="108" w:type="dxa"/>
        <w:top w:w="0" w:type="dxa"/>
        <w:right w:w="108" w:type="dxa"/>
        <w:bottom w:w="0" w:type="dxa"/>
      </w:tblCellMar>
    </w:tblPr>
    <w:tblStylePr w:type="band1Horz">
      <w:tcPr>
        <w:shd w:val="clear" w:color="auto" w:fill="FDE4D0" w:themeFill="accent6" w:themeFillTint="40"/>
      </w:tcPr>
    </w:tblStylePr>
    <w:tblStylePr w:type="band1Vert">
      <w:tcPr>
        <w:shd w:val="clear" w:color="auto" w:fill="FDE4D0"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F79646" w:sz="4" w:space="0" w:themeColor="accent6"/>
        </w:tcBorders>
      </w:tcPr>
    </w:tblStylePr>
    <w:tblStylePr w:type="lastCol">
      <w:rPr>
        <w:b/>
        <w:color w:val="404040"/>
      </w:rPr>
    </w:tblStylePr>
    <w:tblStylePr w:type="lastRow">
      <w:rPr>
        <w:b/>
        <w:color w:val="404040"/>
      </w:rPr>
      <w:tcPr>
        <w:tcBorders>
          <w:left w:val="none" w:color="000000" w:sz="4" w:space="0"/>
          <w:top w:val="single" w:color="F79646" w:sz="4" w:space="0" w:themeColor="accent6"/>
          <w:right w:val="none" w:color="000000" w:sz="4" w:space="0"/>
          <w:bottom w:val="none" w:color="000000" w:sz="4" w:space="0"/>
        </w:tcBorders>
      </w:tcPr>
    </w:tblStylePr>
  </w:style>
  <w:style w:type="table" w:styleId="486" w:customStyle="1">
    <w:name w:val="List Table 2"/>
    <w:basedOn w:val="395"/>
    <w:uiPriority w:val="99"/>
    <w:pPr>
      <w:spacing w:lineRule="auto" w:line="240" w:after="0"/>
    </w:pPr>
    <w:tblPr>
      <w:tblStyleRowBandSize w:val="1"/>
      <w:tblStyleColBandSize w:val="1"/>
      <w:tblInd w:w="0" w:type="dxa"/>
      <w:tblBorders>
        <w:top w:val="single" w:color="6F6F6F" w:sz="4" w:space="0" w:themeColor="text1" w:themeTint="90"/>
        <w:bottom w:val="single" w:color="6F6F6F" w:sz="4" w:space="0" w:themeColor="text1" w:themeTint="90"/>
        <w:insideH w:val="single" w:color="6F6F6F" w:sz="4" w:space="0" w:themeColor="text1" w:themeTint="90"/>
      </w:tblBorders>
      <w:tblCellMar>
        <w:left w:w="108" w:type="dxa"/>
        <w:top w:w="0" w:type="dxa"/>
        <w:right w:w="108" w:type="dxa"/>
        <w:bottom w:w="0" w:type="dxa"/>
      </w:tblCellMar>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6F6F6F" w:sz="4" w:space="0" w:themeColor="text1" w:themeTint="90"/>
          <w:right w:val="none" w:color="000000" w:sz="4" w:space="0"/>
          <w:bottom w:val="single" w:color="6F6F6F"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6F6F6F" w:sz="4" w:space="0" w:themeColor="text1" w:themeTint="90"/>
          <w:right w:val="none" w:color="000000" w:sz="4" w:space="0"/>
          <w:bottom w:val="single" w:color="6F6F6F" w:sz="4" w:space="0" w:themeColor="text1" w:themeTint="90"/>
        </w:tcBorders>
      </w:tcPr>
    </w:tblStylePr>
  </w:style>
  <w:style w:type="table" w:styleId="487" w:customStyle="1">
    <w:name w:val="List Table 2 - Accent 1"/>
    <w:basedOn w:val="395"/>
    <w:uiPriority w:val="99"/>
    <w:pPr>
      <w:spacing w:lineRule="auto" w:line="240" w:after="0"/>
    </w:pPr>
    <w:tblPr>
      <w:tblStyleRowBandSize w:val="1"/>
      <w:tblStyleColBandSize w:val="1"/>
      <w:tblInd w:w="0" w:type="dxa"/>
      <w:tblBorders>
        <w:top w:val="single" w:color="9BB7D9" w:sz="4" w:space="0" w:themeColor="accent1" w:themeTint="90"/>
        <w:bottom w:val="single" w:color="9BB7D9" w:sz="4" w:space="0" w:themeColor="accent1" w:themeTint="90"/>
        <w:insideH w:val="single" w:color="9BB7D9" w:sz="4" w:space="0" w:themeColor="accent1" w:themeTint="90"/>
      </w:tblBorders>
      <w:tblCellMar>
        <w:left w:w="108" w:type="dxa"/>
        <w:top w:w="0" w:type="dxa"/>
        <w:right w:w="108" w:type="dxa"/>
        <w:bottom w:w="0" w:type="dxa"/>
      </w:tblCellMar>
    </w:tblPr>
    <w:tblStylePr w:type="band1Horz">
      <w:rPr>
        <w:rFonts w:ascii="Arial" w:hAnsi="Arial"/>
        <w:color w:val="404040"/>
        <w:sz w:val="22"/>
      </w:rPr>
      <w:tcPr>
        <w:shd w:val="clear" w:color="auto" w:fill="D2DFEE" w:themeFill="accent1" w:themeFillTint="40"/>
      </w:tcPr>
    </w:tblStylePr>
    <w:tblStylePr w:type="band1Vert">
      <w:rPr>
        <w:rFonts w:ascii="Arial" w:hAnsi="Arial"/>
        <w:color w:val="404040"/>
        <w:sz w:val="22"/>
      </w:rPr>
      <w:tcPr>
        <w:shd w:val="clear" w:color="auto"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9BB7D9" w:sz="4" w:space="0" w:themeColor="accent1" w:themeTint="90"/>
          <w:right w:val="none" w:color="000000" w:sz="4" w:space="0"/>
          <w:bottom w:val="single" w:color="9BB7D9"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9BB7D9" w:sz="4" w:space="0" w:themeColor="accent1" w:themeTint="90"/>
          <w:right w:val="none" w:color="000000" w:sz="4" w:space="0"/>
          <w:bottom w:val="single" w:color="9BB7D9" w:sz="4" w:space="0" w:themeColor="accent1" w:themeTint="90"/>
        </w:tcBorders>
      </w:tcPr>
    </w:tblStylePr>
  </w:style>
  <w:style w:type="table" w:styleId="488" w:customStyle="1">
    <w:name w:val="List Table 2 - Accent 2"/>
    <w:basedOn w:val="395"/>
    <w:uiPriority w:val="99"/>
    <w:pPr>
      <w:spacing w:lineRule="auto" w:line="240" w:after="0"/>
    </w:pPr>
    <w:tblPr>
      <w:tblStyleRowBandSize w:val="1"/>
      <w:tblStyleColBandSize w:val="1"/>
      <w:tblInd w:w="0" w:type="dxa"/>
      <w:tblBorders>
        <w:top w:val="single" w:color="DB9B9A" w:sz="4" w:space="0" w:themeColor="accent2" w:themeTint="90"/>
        <w:bottom w:val="single" w:color="DB9B9A" w:sz="4" w:space="0" w:themeColor="accent2" w:themeTint="90"/>
        <w:insideH w:val="single" w:color="DB9B9A" w:sz="4" w:space="0" w:themeColor="accent2" w:themeTint="90"/>
      </w:tblBorders>
      <w:tblCellMar>
        <w:left w:w="108" w:type="dxa"/>
        <w:top w:w="0" w:type="dxa"/>
        <w:right w:w="108" w:type="dxa"/>
        <w:bottom w:w="0" w:type="dxa"/>
      </w:tblCellMar>
    </w:tblPr>
    <w:tblStylePr w:type="band1Horz">
      <w:rPr>
        <w:rFonts w:ascii="Arial" w:hAnsi="Arial"/>
        <w:color w:val="404040"/>
        <w:sz w:val="22"/>
      </w:rPr>
      <w:tcPr>
        <w:shd w:val="clear" w:color="auto" w:fill="EFD2D2" w:themeFill="accent2" w:themeFillTint="40"/>
      </w:tcPr>
    </w:tblStylePr>
    <w:tblStylePr w:type="band1Vert">
      <w:rPr>
        <w:rFonts w:ascii="Arial" w:hAnsi="Arial"/>
        <w:color w:val="404040"/>
        <w:sz w:val="22"/>
      </w:rPr>
      <w:tcPr>
        <w:shd w:val="clear" w:color="auto"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DB9B9A" w:sz="4" w:space="0" w:themeColor="accent2" w:themeTint="90"/>
          <w:right w:val="none" w:color="000000" w:sz="4" w:space="0"/>
          <w:bottom w:val="single" w:color="DB9B9A"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DB9B9A" w:sz="4" w:space="0" w:themeColor="accent2" w:themeTint="90"/>
          <w:right w:val="none" w:color="000000" w:sz="4" w:space="0"/>
          <w:bottom w:val="single" w:color="DB9B9A" w:sz="4" w:space="0" w:themeColor="accent2" w:themeTint="90"/>
        </w:tcBorders>
      </w:tcPr>
    </w:tblStylePr>
  </w:style>
  <w:style w:type="table" w:styleId="489" w:customStyle="1">
    <w:name w:val="List Table 2 - Accent 3"/>
    <w:basedOn w:val="395"/>
    <w:uiPriority w:val="99"/>
    <w:pPr>
      <w:spacing w:lineRule="auto" w:line="240" w:after="0"/>
    </w:pPr>
    <w:tblPr>
      <w:tblStyleRowBandSize w:val="1"/>
      <w:tblStyleColBandSize w:val="1"/>
      <w:tblInd w:w="0" w:type="dxa"/>
      <w:tblBorders>
        <w:top w:val="single" w:color="C6D8A1" w:sz="4" w:space="0" w:themeColor="accent3" w:themeTint="90"/>
        <w:bottom w:val="single" w:color="C6D8A1" w:sz="4" w:space="0" w:themeColor="accent3" w:themeTint="90"/>
        <w:insideH w:val="single" w:color="C6D8A1" w:sz="4" w:space="0" w:themeColor="accent3" w:themeTint="90"/>
      </w:tblBorders>
      <w:tblCellMar>
        <w:left w:w="108" w:type="dxa"/>
        <w:top w:w="0" w:type="dxa"/>
        <w:right w:w="108" w:type="dxa"/>
        <w:bottom w:w="0" w:type="dxa"/>
      </w:tblCellMar>
    </w:tblPr>
    <w:tblStylePr w:type="band1Horz">
      <w:rPr>
        <w:rFonts w:ascii="Arial" w:hAnsi="Arial"/>
        <w:color w:val="404040"/>
        <w:sz w:val="22"/>
      </w:rPr>
      <w:tcPr>
        <w:shd w:val="clear" w:color="auto" w:fill="E5EED5" w:themeFill="accent3" w:themeFillTint="40"/>
      </w:tcPr>
    </w:tblStylePr>
    <w:tblStylePr w:type="band1Vert">
      <w:rPr>
        <w:rFonts w:ascii="Arial" w:hAnsi="Arial"/>
        <w:color w:val="404040"/>
        <w:sz w:val="22"/>
      </w:rPr>
      <w:tcPr>
        <w:shd w:val="clear" w:color="auto"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C6D8A1" w:sz="4" w:space="0" w:themeColor="accent3" w:themeTint="90"/>
          <w:right w:val="none" w:color="000000" w:sz="4" w:space="0"/>
          <w:bottom w:val="single" w:color="C6D8A1"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C6D8A1" w:sz="4" w:space="0" w:themeColor="accent3" w:themeTint="90"/>
          <w:right w:val="none" w:color="000000" w:sz="4" w:space="0"/>
          <w:bottom w:val="single" w:color="C6D8A1" w:sz="4" w:space="0" w:themeColor="accent3" w:themeTint="90"/>
        </w:tcBorders>
      </w:tcPr>
    </w:tblStylePr>
  </w:style>
  <w:style w:type="table" w:styleId="490" w:customStyle="1">
    <w:name w:val="List Table 2 - Accent 4"/>
    <w:basedOn w:val="395"/>
    <w:uiPriority w:val="99"/>
    <w:pPr>
      <w:spacing w:lineRule="auto" w:line="240" w:after="0"/>
    </w:pPr>
    <w:tblPr>
      <w:tblStyleRowBandSize w:val="1"/>
      <w:tblStyleColBandSize w:val="1"/>
      <w:tblInd w:w="0" w:type="dxa"/>
      <w:tblBorders>
        <w:top w:val="single" w:color="B7A7CA" w:sz="4" w:space="0" w:themeColor="accent4" w:themeTint="90"/>
        <w:bottom w:val="single" w:color="B7A7CA" w:sz="4" w:space="0" w:themeColor="accent4" w:themeTint="90"/>
        <w:insideH w:val="single" w:color="B7A7CA" w:sz="4" w:space="0" w:themeColor="accent4" w:themeTint="90"/>
      </w:tblBorders>
      <w:tblCellMar>
        <w:left w:w="108" w:type="dxa"/>
        <w:top w:w="0" w:type="dxa"/>
        <w:right w:w="108" w:type="dxa"/>
        <w:bottom w:w="0" w:type="dxa"/>
      </w:tblCellMar>
    </w:tblPr>
    <w:tblStylePr w:type="band1Horz">
      <w:rPr>
        <w:rFonts w:ascii="Arial" w:hAnsi="Arial"/>
        <w:color w:val="404040"/>
        <w:sz w:val="22"/>
      </w:rPr>
      <w:tcPr>
        <w:shd w:val="clear" w:color="auto" w:fill="DFD8E7" w:themeFill="accent4" w:themeFillTint="40"/>
      </w:tcPr>
    </w:tblStylePr>
    <w:tblStylePr w:type="band1Vert">
      <w:rPr>
        <w:rFonts w:ascii="Arial" w:hAnsi="Arial"/>
        <w:color w:val="404040"/>
        <w:sz w:val="22"/>
      </w:rPr>
      <w:tcPr>
        <w:shd w:val="clear" w:color="auto"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B7A7CA" w:sz="4" w:space="0" w:themeColor="accent4" w:themeTint="90"/>
          <w:right w:val="none" w:color="000000" w:sz="4" w:space="0"/>
          <w:bottom w:val="single" w:color="B7A7CA"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B7A7CA" w:sz="4" w:space="0" w:themeColor="accent4" w:themeTint="90"/>
          <w:right w:val="none" w:color="000000" w:sz="4" w:space="0"/>
          <w:bottom w:val="single" w:color="B7A7CA" w:sz="4" w:space="0" w:themeColor="accent4" w:themeTint="90"/>
        </w:tcBorders>
      </w:tcPr>
    </w:tblStylePr>
  </w:style>
  <w:style w:type="table" w:styleId="491" w:customStyle="1">
    <w:name w:val="List Table 2 - Accent 5"/>
    <w:basedOn w:val="395"/>
    <w:uiPriority w:val="99"/>
    <w:pPr>
      <w:spacing w:lineRule="auto" w:line="240" w:after="0"/>
    </w:pPr>
    <w:tblPr>
      <w:tblStyleRowBandSize w:val="1"/>
      <w:tblStyleColBandSize w:val="1"/>
      <w:tblInd w:w="0" w:type="dxa"/>
      <w:tblBorders>
        <w:top w:val="single" w:color="99D0DE" w:sz="4" w:space="0" w:themeColor="accent5" w:themeTint="90"/>
        <w:bottom w:val="single" w:color="99D0DE" w:sz="4" w:space="0" w:themeColor="accent5" w:themeTint="90"/>
        <w:insideH w:val="single" w:color="99D0DE" w:sz="4" w:space="0" w:themeColor="accent5" w:themeTint="90"/>
      </w:tblBorders>
      <w:tblCellMar>
        <w:left w:w="108" w:type="dxa"/>
        <w:top w:w="0" w:type="dxa"/>
        <w:right w:w="108" w:type="dxa"/>
        <w:bottom w:w="0" w:type="dxa"/>
      </w:tblCellMar>
    </w:tblPr>
    <w:tblStylePr w:type="band1Horz">
      <w:rPr>
        <w:rFonts w:ascii="Arial" w:hAnsi="Arial"/>
        <w:color w:val="404040"/>
        <w:sz w:val="22"/>
      </w:rPr>
      <w:tcPr>
        <w:shd w:val="clear" w:color="auto" w:fill="D1EAF0" w:themeFill="accent5" w:themeFillTint="40"/>
      </w:tcPr>
    </w:tblStylePr>
    <w:tblStylePr w:type="band1Vert">
      <w:rPr>
        <w:rFonts w:ascii="Arial" w:hAnsi="Arial"/>
        <w:color w:val="404040"/>
        <w:sz w:val="22"/>
      </w:rPr>
      <w:tcPr>
        <w:shd w:val="clear" w:color="auto"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99D0DE" w:sz="4" w:space="0" w:themeColor="accent5" w:themeTint="90"/>
          <w:right w:val="none" w:color="000000" w:sz="4" w:space="0"/>
          <w:bottom w:val="single" w:color="99D0DE"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99D0DE" w:sz="4" w:space="0" w:themeColor="accent5" w:themeTint="90"/>
          <w:right w:val="none" w:color="000000" w:sz="4" w:space="0"/>
          <w:bottom w:val="single" w:color="99D0DE" w:sz="4" w:space="0" w:themeColor="accent5" w:themeTint="90"/>
        </w:tcBorders>
      </w:tcPr>
    </w:tblStylePr>
  </w:style>
  <w:style w:type="table" w:styleId="492" w:customStyle="1">
    <w:name w:val="List Table 2 - Accent 6"/>
    <w:basedOn w:val="395"/>
    <w:uiPriority w:val="99"/>
    <w:pPr>
      <w:spacing w:lineRule="auto" w:line="240" w:after="0"/>
    </w:pPr>
    <w:tblPr>
      <w:tblStyleRowBandSize w:val="1"/>
      <w:tblStyleColBandSize w:val="1"/>
      <w:tblInd w:w="0" w:type="dxa"/>
      <w:tblBorders>
        <w:top w:val="single" w:color="FAC396" w:sz="4" w:space="0" w:themeColor="accent6" w:themeTint="90"/>
        <w:bottom w:val="single" w:color="FAC396" w:sz="4" w:space="0" w:themeColor="accent6" w:themeTint="90"/>
        <w:insideH w:val="single" w:color="FAC396" w:sz="4" w:space="0" w:themeColor="accent6" w:themeTint="90"/>
      </w:tblBorders>
      <w:tblCellMar>
        <w:left w:w="108" w:type="dxa"/>
        <w:top w:w="0" w:type="dxa"/>
        <w:right w:w="108" w:type="dxa"/>
        <w:bottom w:w="0" w:type="dxa"/>
      </w:tblCellMar>
    </w:tblPr>
    <w:tblStylePr w:type="band1Horz">
      <w:rPr>
        <w:rFonts w:ascii="Arial" w:hAnsi="Arial"/>
        <w:color w:val="404040"/>
        <w:sz w:val="22"/>
      </w:rPr>
      <w:tcPr>
        <w:shd w:val="clear" w:color="auto" w:fill="FDE4D0" w:themeFill="accent6" w:themeFillTint="40"/>
      </w:tcPr>
    </w:tblStylePr>
    <w:tblStylePr w:type="band1Vert">
      <w:rPr>
        <w:rFonts w:ascii="Arial" w:hAnsi="Arial"/>
        <w:color w:val="404040"/>
        <w:sz w:val="22"/>
      </w:rPr>
      <w:tcPr>
        <w:shd w:val="clear" w:color="auto"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FAC396" w:sz="4" w:space="0" w:themeColor="accent6" w:themeTint="90"/>
          <w:right w:val="none" w:color="000000" w:sz="4" w:space="0"/>
          <w:bottom w:val="single" w:color="FAC396"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FAC396" w:sz="4" w:space="0" w:themeColor="accent6" w:themeTint="90"/>
          <w:right w:val="none" w:color="000000" w:sz="4" w:space="0"/>
          <w:bottom w:val="single" w:color="FAC396" w:sz="4" w:space="0" w:themeColor="accent6" w:themeTint="90"/>
        </w:tcBorders>
      </w:tcPr>
    </w:tblStylePr>
  </w:style>
  <w:style w:type="table" w:styleId="493" w:customStyle="1">
    <w:name w:val="List Table 3"/>
    <w:basedOn w:val="3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CellMar>
        <w:left w:w="108" w:type="dxa"/>
        <w:top w:w="0" w:type="dxa"/>
        <w:right w:w="108" w:type="dxa"/>
        <w:bottom w:w="0" w:type="dxa"/>
      </w:tblCellMar>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494" w:customStyle="1">
    <w:name w:val="List Table 3 - Accent 1"/>
    <w:basedOn w:val="395"/>
    <w:uiPriority w:val="99"/>
    <w:pPr>
      <w:spacing w:lineRule="auto" w:line="240" w:after="0"/>
    </w:pPr>
    <w:tblPr>
      <w:tblStyleRowBandSize w:val="1"/>
      <w:tblStyleColBandSize w:val="1"/>
      <w:tblInd w:w="0" w:type="dxa"/>
      <w:tblBorders>
        <w:left w:val="single" w:color="4F81BD" w:sz="4" w:space="0" w:themeColor="accent1"/>
        <w:top w:val="single" w:color="4F81BD" w:sz="4" w:space="0" w:themeColor="accent1"/>
        <w:right w:val="single" w:color="4F81BD" w:sz="4" w:space="0" w:themeColor="accent1"/>
        <w:bottom w:val="single" w:color="4F81BD" w:sz="4" w:space="0" w:themeColor="accent1"/>
      </w:tblBorders>
      <w:tblCellMar>
        <w:left w:w="108" w:type="dxa"/>
        <w:top w:w="0" w:type="dxa"/>
        <w:right w:w="108" w:type="dxa"/>
        <w:bottom w:w="0" w:type="dxa"/>
      </w:tblCellMar>
    </w:tblPr>
    <w:tblStylePr w:type="band1Horz">
      <w:rPr>
        <w:rFonts w:ascii="Arial" w:hAnsi="Arial"/>
        <w:color w:val="404040"/>
        <w:sz w:val="22"/>
      </w:rPr>
      <w:tcPr>
        <w:tcBorders>
          <w:top w:val="single" w:color="4F81BD" w:sz="4" w:space="0" w:themeColor="accent1"/>
          <w:bottom w:val="single" w:color="4F81BD" w:sz="4" w:space="0" w:themeColor="accent1"/>
        </w:tcBorders>
      </w:tcPr>
    </w:tblStylePr>
    <w:tblStylePr w:type="band1Vert">
      <w:rPr>
        <w:rFonts w:ascii="Arial" w:hAnsi="Arial"/>
        <w:color w:val="404040"/>
        <w:sz w:val="22"/>
      </w:rPr>
      <w:tcPr>
        <w:tcBorders>
          <w:left w:val="single" w:color="4F81BD" w:sz="4" w:space="0" w:themeColor="accent1"/>
          <w:right w:val="single" w:color="4F81BD" w:sz="4" w:space="0" w:themeColor="accent1"/>
        </w:tcBorders>
      </w:tcPr>
    </w:tblStylePr>
    <w:tblStylePr w:type="firstCol">
      <w:rPr>
        <w:b/>
        <w:color w:val="404040"/>
      </w:rPr>
    </w:tblStylePr>
    <w:tblStylePr w:type="firstRow">
      <w:rPr>
        <w:rFonts w:ascii="Arial" w:hAnsi="Arial"/>
        <w:b/>
        <w:color w:val="FFFFFF"/>
        <w:sz w:val="22"/>
      </w:rPr>
      <w:tcPr>
        <w:shd w:val="clear" w:color="auto" w:fill="4F81BD" w:themeFill="accent1"/>
      </w:tcPr>
    </w:tblStylePr>
    <w:tblStylePr w:type="lastCol">
      <w:rPr>
        <w:b/>
        <w:color w:val="404040"/>
      </w:rPr>
    </w:tblStylePr>
    <w:tblStylePr w:type="lastRow">
      <w:rPr>
        <w:b/>
        <w:color w:val="404040"/>
      </w:rPr>
    </w:tblStylePr>
  </w:style>
  <w:style w:type="table" w:styleId="495" w:customStyle="1">
    <w:name w:val="List Table 3 - Accent 2"/>
    <w:basedOn w:val="395"/>
    <w:uiPriority w:val="99"/>
    <w:pPr>
      <w:spacing w:lineRule="auto" w:line="240" w:after="0"/>
    </w:pPr>
    <w:tblPr>
      <w:tblStyleRowBandSize w:val="1"/>
      <w:tblStyleColBandSize w:val="1"/>
      <w:tblInd w:w="0" w:type="dxa"/>
      <w:tblBorders>
        <w:left w:val="single" w:color="D99695" w:sz="4" w:space="0" w:themeColor="accent2" w:themeTint="97"/>
        <w:top w:val="single" w:color="D99695" w:sz="4" w:space="0" w:themeColor="accent2" w:themeTint="97"/>
        <w:right w:val="single" w:color="D99695" w:sz="4" w:space="0" w:themeColor="accent2" w:themeTint="97"/>
        <w:bottom w:val="single" w:color="D99695" w:sz="4" w:space="0" w:themeColor="accent2" w:themeTint="97"/>
      </w:tblBorders>
      <w:tblCellMar>
        <w:left w:w="108" w:type="dxa"/>
        <w:top w:w="0" w:type="dxa"/>
        <w:right w:w="108" w:type="dxa"/>
        <w:bottom w:w="0" w:type="dxa"/>
      </w:tblCellMar>
    </w:tblPr>
    <w:tblStylePr w:type="band1Horz">
      <w:rPr>
        <w:rFonts w:ascii="Arial" w:hAnsi="Arial"/>
        <w:color w:val="404040"/>
        <w:sz w:val="22"/>
      </w:rPr>
      <w:tcPr>
        <w:tcBorders>
          <w:top w:val="single" w:color="D99695" w:sz="4" w:space="0" w:themeColor="accent2" w:themeTint="97"/>
          <w:bottom w:val="single" w:color="D99695" w:sz="4" w:space="0" w:themeColor="accent2" w:themeTint="97"/>
        </w:tcBorders>
      </w:tcPr>
    </w:tblStylePr>
    <w:tblStylePr w:type="band1Vert">
      <w:rPr>
        <w:rFonts w:ascii="Arial" w:hAnsi="Arial"/>
        <w:color w:val="404040"/>
        <w:sz w:val="22"/>
      </w:rPr>
      <w:tcPr>
        <w:tcBorders>
          <w:left w:val="single" w:color="D99695" w:sz="4" w:space="0" w:themeColor="accent2" w:themeTint="97"/>
          <w:right w:val="single" w:color="D99695"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D99695" w:themeFill="accent2" w:themeFillTint="97"/>
      </w:tcPr>
    </w:tblStylePr>
    <w:tblStylePr w:type="lastCol">
      <w:rPr>
        <w:b/>
        <w:color w:val="404040"/>
      </w:rPr>
    </w:tblStylePr>
    <w:tblStylePr w:type="lastRow">
      <w:rPr>
        <w:b/>
        <w:color w:val="404040"/>
      </w:rPr>
    </w:tblStylePr>
  </w:style>
  <w:style w:type="table" w:styleId="496" w:customStyle="1">
    <w:name w:val="List Table 3 - Accent 3"/>
    <w:basedOn w:val="395"/>
    <w:uiPriority w:val="99"/>
    <w:pPr>
      <w:spacing w:lineRule="auto" w:line="240" w:after="0"/>
    </w:pPr>
    <w:tblPr>
      <w:tblStyleRowBandSize w:val="1"/>
      <w:tblStyleColBandSize w:val="1"/>
      <w:tblInd w:w="0" w:type="dxa"/>
      <w:tblBorders>
        <w:left w:val="single" w:color="C3D69B" w:sz="4" w:space="0" w:themeColor="accent3" w:themeTint="98"/>
        <w:top w:val="single" w:color="C3D69B" w:sz="4" w:space="0" w:themeColor="accent3" w:themeTint="98"/>
        <w:right w:val="single" w:color="C3D69B" w:sz="4" w:space="0" w:themeColor="accent3" w:themeTint="98"/>
        <w:bottom w:val="single" w:color="C3D69B" w:sz="4" w:space="0" w:themeColor="accent3" w:themeTint="98"/>
      </w:tblBorders>
      <w:tblCellMar>
        <w:left w:w="108" w:type="dxa"/>
        <w:top w:w="0" w:type="dxa"/>
        <w:right w:w="108" w:type="dxa"/>
        <w:bottom w:w="0" w:type="dxa"/>
      </w:tblCellMar>
    </w:tblPr>
    <w:tblStylePr w:type="band1Horz">
      <w:rPr>
        <w:rFonts w:ascii="Arial" w:hAnsi="Arial"/>
        <w:color w:val="404040"/>
        <w:sz w:val="22"/>
      </w:rPr>
      <w:tcPr>
        <w:tcBorders>
          <w:top w:val="single" w:color="C3D69B" w:sz="4" w:space="0" w:themeColor="accent3" w:themeTint="98"/>
          <w:bottom w:val="single" w:color="C3D69B" w:sz="4" w:space="0" w:themeColor="accent3" w:themeTint="98"/>
        </w:tcBorders>
      </w:tcPr>
    </w:tblStylePr>
    <w:tblStylePr w:type="band1Vert">
      <w:rPr>
        <w:rFonts w:ascii="Arial" w:hAnsi="Arial"/>
        <w:color w:val="404040"/>
        <w:sz w:val="22"/>
      </w:rPr>
      <w:tcPr>
        <w:tcBorders>
          <w:left w:val="single" w:color="C3D69B" w:sz="4" w:space="0" w:themeColor="accent3" w:themeTint="98"/>
          <w:right w:val="single" w:color="C3D69B"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C3D69B" w:themeFill="accent3" w:themeFillTint="98"/>
      </w:tcPr>
    </w:tblStylePr>
    <w:tblStylePr w:type="lastCol">
      <w:rPr>
        <w:b/>
        <w:color w:val="404040"/>
      </w:rPr>
    </w:tblStylePr>
    <w:tblStylePr w:type="lastRow">
      <w:rPr>
        <w:b/>
        <w:color w:val="404040"/>
      </w:rPr>
    </w:tblStylePr>
  </w:style>
  <w:style w:type="table" w:styleId="497" w:customStyle="1">
    <w:name w:val="List Table 3 - Accent 4"/>
    <w:basedOn w:val="395"/>
    <w:uiPriority w:val="99"/>
    <w:pPr>
      <w:spacing w:lineRule="auto" w:line="240" w:after="0"/>
    </w:pPr>
    <w:tblPr>
      <w:tblStyleRowBandSize w:val="1"/>
      <w:tblStyleColBandSize w:val="1"/>
      <w:tblInd w:w="0" w:type="dxa"/>
      <w:tblBorders>
        <w:left w:val="single" w:color="B2A1C6" w:sz="4" w:space="0" w:themeColor="accent4" w:themeTint="9A"/>
        <w:top w:val="single" w:color="B2A1C6" w:sz="4" w:space="0" w:themeColor="accent4" w:themeTint="9A"/>
        <w:right w:val="single" w:color="B2A1C6" w:sz="4" w:space="0" w:themeColor="accent4" w:themeTint="9A"/>
        <w:bottom w:val="single" w:color="B2A1C6" w:sz="4" w:space="0" w:themeColor="accent4" w:themeTint="9A"/>
      </w:tblBorders>
      <w:tblCellMar>
        <w:left w:w="108" w:type="dxa"/>
        <w:top w:w="0" w:type="dxa"/>
        <w:right w:w="108" w:type="dxa"/>
        <w:bottom w:w="0" w:type="dxa"/>
      </w:tblCellMar>
    </w:tblPr>
    <w:tblStylePr w:type="band1Horz">
      <w:rPr>
        <w:rFonts w:ascii="Arial" w:hAnsi="Arial"/>
        <w:color w:val="404040"/>
        <w:sz w:val="22"/>
      </w:rPr>
      <w:tcPr>
        <w:tcBorders>
          <w:top w:val="single" w:color="B2A1C6" w:sz="4" w:space="0" w:themeColor="accent4" w:themeTint="9A"/>
          <w:bottom w:val="single" w:color="B2A1C6" w:sz="4" w:space="0" w:themeColor="accent4" w:themeTint="9A"/>
        </w:tcBorders>
      </w:tcPr>
    </w:tblStylePr>
    <w:tblStylePr w:type="band1Vert">
      <w:rPr>
        <w:rFonts w:ascii="Arial" w:hAnsi="Arial"/>
        <w:color w:val="404040"/>
        <w:sz w:val="22"/>
      </w:rPr>
      <w:tcPr>
        <w:tcBorders>
          <w:left w:val="single" w:color="B2A1C6" w:sz="4" w:space="0" w:themeColor="accent4" w:themeTint="9A"/>
          <w:right w:val="single" w:color="B2A1C6"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B2A1C6" w:themeFill="accent4" w:themeFillTint="9A"/>
      </w:tcPr>
    </w:tblStylePr>
    <w:tblStylePr w:type="lastCol">
      <w:rPr>
        <w:b/>
        <w:color w:val="404040"/>
      </w:rPr>
    </w:tblStylePr>
    <w:tblStylePr w:type="lastRow">
      <w:rPr>
        <w:b/>
        <w:color w:val="404040"/>
      </w:rPr>
    </w:tblStylePr>
  </w:style>
  <w:style w:type="table" w:styleId="498" w:customStyle="1">
    <w:name w:val="List Table 3 - Accent 5"/>
    <w:basedOn w:val="395"/>
    <w:uiPriority w:val="99"/>
    <w:pPr>
      <w:spacing w:lineRule="auto" w:line="240" w:after="0"/>
    </w:pPr>
    <w:tblPr>
      <w:tblStyleRowBandSize w:val="1"/>
      <w:tblStyleColBandSize w:val="1"/>
      <w:tblInd w:w="0" w:type="dxa"/>
      <w:tblBorders>
        <w:left w:val="single" w:color="92CCDC" w:sz="4" w:space="0" w:themeColor="accent5" w:themeTint="9A"/>
        <w:top w:val="single" w:color="92CCDC" w:sz="4" w:space="0" w:themeColor="accent5" w:themeTint="9A"/>
        <w:right w:val="single" w:color="92CCDC" w:sz="4" w:space="0" w:themeColor="accent5" w:themeTint="9A"/>
        <w:bottom w:val="single" w:color="92CCDC" w:sz="4" w:space="0" w:themeColor="accent5" w:themeTint="9A"/>
      </w:tblBorders>
      <w:tblCellMar>
        <w:left w:w="108" w:type="dxa"/>
        <w:top w:w="0" w:type="dxa"/>
        <w:right w:w="108" w:type="dxa"/>
        <w:bottom w:w="0" w:type="dxa"/>
      </w:tblCellMar>
    </w:tblPr>
    <w:tblStylePr w:type="band1Horz">
      <w:rPr>
        <w:rFonts w:ascii="Arial" w:hAnsi="Arial"/>
        <w:color w:val="404040"/>
        <w:sz w:val="22"/>
      </w:rPr>
      <w:tcPr>
        <w:tcBorders>
          <w:top w:val="single" w:color="92CCDC" w:sz="4" w:space="0" w:themeColor="accent5" w:themeTint="9A"/>
          <w:bottom w:val="single" w:color="92CCDC" w:sz="4" w:space="0" w:themeColor="accent5" w:themeTint="9A"/>
        </w:tcBorders>
      </w:tcPr>
    </w:tblStylePr>
    <w:tblStylePr w:type="band1Vert">
      <w:rPr>
        <w:rFonts w:ascii="Arial" w:hAnsi="Arial"/>
        <w:color w:val="404040"/>
        <w:sz w:val="22"/>
      </w:rPr>
      <w:tcPr>
        <w:tcBorders>
          <w:left w:val="single" w:color="92CCDC" w:sz="4" w:space="0" w:themeColor="accent5" w:themeTint="9A"/>
          <w:right w:val="single" w:color="92CCDC"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92CCDC" w:themeFill="accent5" w:themeFillTint="9A"/>
      </w:tcPr>
    </w:tblStylePr>
    <w:tblStylePr w:type="lastCol">
      <w:rPr>
        <w:b/>
        <w:color w:val="404040"/>
      </w:rPr>
    </w:tblStylePr>
    <w:tblStylePr w:type="lastRow">
      <w:rPr>
        <w:b/>
        <w:color w:val="404040"/>
      </w:rPr>
    </w:tblStylePr>
  </w:style>
  <w:style w:type="table" w:styleId="499" w:customStyle="1">
    <w:name w:val="List Table 3 - Accent 6"/>
    <w:basedOn w:val="395"/>
    <w:uiPriority w:val="99"/>
    <w:pPr>
      <w:spacing w:lineRule="auto" w:line="240" w:after="0"/>
    </w:pPr>
    <w:tblPr>
      <w:tblStyleRowBandSize w:val="1"/>
      <w:tblStyleColBandSize w:val="1"/>
      <w:tblInd w:w="0" w:type="dxa"/>
      <w:tblBorders>
        <w:left w:val="single" w:color="FAC090" w:sz="4" w:space="0" w:themeColor="accent6" w:themeTint="98"/>
        <w:top w:val="single" w:color="FAC090" w:sz="4" w:space="0" w:themeColor="accent6" w:themeTint="98"/>
        <w:right w:val="single" w:color="FAC090" w:sz="4" w:space="0" w:themeColor="accent6" w:themeTint="98"/>
        <w:bottom w:val="single" w:color="FAC090" w:sz="4" w:space="0" w:themeColor="accent6" w:themeTint="98"/>
      </w:tblBorders>
      <w:tblCellMar>
        <w:left w:w="108" w:type="dxa"/>
        <w:top w:w="0" w:type="dxa"/>
        <w:right w:w="108" w:type="dxa"/>
        <w:bottom w:w="0" w:type="dxa"/>
      </w:tblCellMar>
    </w:tblPr>
    <w:tblStylePr w:type="band1Horz">
      <w:rPr>
        <w:rFonts w:ascii="Arial" w:hAnsi="Arial"/>
        <w:color w:val="404040"/>
        <w:sz w:val="22"/>
      </w:rPr>
      <w:tcPr>
        <w:tcBorders>
          <w:top w:val="single" w:color="FAC090" w:sz="4" w:space="0" w:themeColor="accent6" w:themeTint="98"/>
          <w:bottom w:val="single" w:color="FAC090" w:sz="4" w:space="0" w:themeColor="accent6" w:themeTint="98"/>
        </w:tcBorders>
      </w:tcPr>
    </w:tblStylePr>
    <w:tblStylePr w:type="band1Vert">
      <w:rPr>
        <w:rFonts w:ascii="Arial" w:hAnsi="Arial"/>
        <w:color w:val="404040"/>
        <w:sz w:val="22"/>
      </w:rPr>
      <w:tcPr>
        <w:tcBorders>
          <w:left w:val="single" w:color="FAC090" w:sz="4" w:space="0" w:themeColor="accent6" w:themeTint="98"/>
          <w:right w:val="single" w:color="FAC09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AC090" w:themeFill="accent6" w:themeFillTint="98"/>
      </w:tcPr>
    </w:tblStylePr>
    <w:tblStylePr w:type="lastCol">
      <w:rPr>
        <w:b/>
        <w:color w:val="404040"/>
      </w:rPr>
    </w:tblStylePr>
    <w:tblStylePr w:type="lastRow">
      <w:rPr>
        <w:b/>
        <w:color w:val="404040"/>
      </w:rPr>
    </w:tblStylePr>
  </w:style>
  <w:style w:type="table" w:styleId="500" w:customStyle="1">
    <w:name w:val="List Table 4"/>
    <w:basedOn w:val="39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CellMar>
        <w:left w:w="108" w:type="dxa"/>
        <w:top w:w="0" w:type="dxa"/>
        <w:right w:w="108" w:type="dxa"/>
        <w:bottom w:w="0" w:type="dxa"/>
      </w:tblCellMar>
    </w:tblPr>
    <w:tblStylePr w:type="band1Horz">
      <w:rPr>
        <w:rFonts w:ascii="Arial" w:hAnsi="Arial"/>
        <w:color w:val="404040"/>
        <w:sz w:val="22"/>
      </w:rPr>
      <w:tcPr>
        <w:shd w:val="clear" w:color="auto" w:fill="BFBFBF" w:themeFill="text1" w:themeFillTint="40"/>
      </w:tcPr>
    </w:tblStylePr>
    <w:tblStylePr w:type="band1Vert">
      <w:rPr>
        <w:rFonts w:ascii="Arial" w:hAnsi="Arial"/>
        <w:color w:val="404040"/>
        <w:sz w:val="22"/>
      </w:rPr>
      <w:tcPr>
        <w:shd w:val="clear" w:color="auto" w:fill="BFBFBF" w:themeFill="text1" w:themeFillTint="40"/>
      </w:tcPr>
    </w:tblStylePr>
    <w:tblStylePr w:type="firstCol">
      <w:rPr>
        <w:b/>
        <w:color w:val="404040"/>
      </w:rPr>
    </w:tblStylePr>
    <w:tblStylePr w:type="firstRow">
      <w:rPr>
        <w:rFonts w:ascii="Arial" w:hAnsi="Arial"/>
        <w:b/>
        <w:color w:val="FFFFFF"/>
        <w:sz w:val="22"/>
      </w:rPr>
      <w:tcPr>
        <w:shd w:val="clear" w:color="auto" w:fill="000000" w:themeFill="text1"/>
      </w:tcPr>
    </w:tblStylePr>
    <w:tblStylePr w:type="lastCol">
      <w:rPr>
        <w:b/>
        <w:color w:val="404040"/>
      </w:rPr>
    </w:tblStylePr>
    <w:tblStylePr w:type="lastRow">
      <w:rPr>
        <w:b/>
        <w:color w:val="404040"/>
      </w:rPr>
    </w:tblStylePr>
  </w:style>
  <w:style w:type="table" w:styleId="501" w:customStyle="1">
    <w:name w:val="List Table 4 - Accent 1"/>
    <w:basedOn w:val="395"/>
    <w:uiPriority w:val="99"/>
    <w:pPr>
      <w:spacing w:lineRule="auto" w:line="240" w:after="0"/>
    </w:pPr>
    <w:tblPr>
      <w:tblStyleRowBandSize w:val="1"/>
      <w:tblStyleColBandSize w:val="1"/>
      <w:tblInd w:w="0" w:type="dxa"/>
      <w:tblBorders>
        <w:left w:val="single" w:color="9BB7D9" w:sz="4" w:space="0" w:themeColor="accent1" w:themeTint="90"/>
        <w:top w:val="single" w:color="9BB7D9" w:sz="4" w:space="0" w:themeColor="accent1" w:themeTint="90"/>
        <w:right w:val="single" w:color="9BB7D9" w:sz="4" w:space="0" w:themeColor="accent1" w:themeTint="90"/>
        <w:bottom w:val="single" w:color="9BB7D9" w:sz="4" w:space="0" w:themeColor="accent1" w:themeTint="90"/>
        <w:insideH w:val="single" w:color="9BB7D9" w:sz="4" w:space="0" w:themeColor="accent1" w:themeTint="90"/>
      </w:tblBorders>
      <w:tblCellMar>
        <w:left w:w="108" w:type="dxa"/>
        <w:top w:w="0" w:type="dxa"/>
        <w:right w:w="108" w:type="dxa"/>
        <w:bottom w:w="0" w:type="dxa"/>
      </w:tblCellMar>
    </w:tblPr>
    <w:tblStylePr w:type="band1Horz">
      <w:rPr>
        <w:rFonts w:ascii="Arial" w:hAnsi="Arial"/>
        <w:color w:val="404040"/>
        <w:sz w:val="22"/>
      </w:rPr>
      <w:tcPr>
        <w:shd w:val="clear" w:color="auto" w:fill="D2DFEE" w:themeFill="accent1" w:themeFillTint="40"/>
      </w:tcPr>
    </w:tblStylePr>
    <w:tblStylePr w:type="band1Vert">
      <w:rPr>
        <w:rFonts w:ascii="Arial" w:hAnsi="Arial"/>
        <w:color w:val="404040"/>
        <w:sz w:val="22"/>
      </w:rPr>
      <w:tcPr>
        <w:shd w:val="clear" w:color="auto" w:fill="D2DFEE" w:themeFill="accent1" w:themeFillTint="40"/>
      </w:tcPr>
    </w:tblStylePr>
    <w:tblStylePr w:type="firstCol">
      <w:rPr>
        <w:b/>
        <w:color w:val="404040"/>
      </w:rPr>
    </w:tblStylePr>
    <w:tblStylePr w:type="firstRow">
      <w:rPr>
        <w:rFonts w:ascii="Arial" w:hAnsi="Arial"/>
        <w:b/>
        <w:color w:val="FFFFFF"/>
        <w:sz w:val="22"/>
      </w:rPr>
      <w:tcPr>
        <w:shd w:val="clear" w:color="auto" w:fill="4F81BD" w:themeFill="accent1"/>
      </w:tcPr>
    </w:tblStylePr>
    <w:tblStylePr w:type="lastCol">
      <w:rPr>
        <w:b/>
        <w:color w:val="404040"/>
      </w:rPr>
    </w:tblStylePr>
    <w:tblStylePr w:type="lastRow">
      <w:rPr>
        <w:b/>
        <w:color w:val="404040"/>
      </w:rPr>
    </w:tblStylePr>
  </w:style>
  <w:style w:type="table" w:styleId="502" w:customStyle="1">
    <w:name w:val="List Table 4 - Accent 2"/>
    <w:basedOn w:val="395"/>
    <w:uiPriority w:val="99"/>
    <w:pPr>
      <w:spacing w:lineRule="auto" w:line="240" w:after="0"/>
    </w:pPr>
    <w:tblPr>
      <w:tblStyleRowBandSize w:val="1"/>
      <w:tblStyleColBandSize w:val="1"/>
      <w:tblInd w:w="0" w:type="dxa"/>
      <w:tblBorders>
        <w:left w:val="single" w:color="DB9B9A" w:sz="4" w:space="0" w:themeColor="accent2" w:themeTint="90"/>
        <w:top w:val="single" w:color="DB9B9A" w:sz="4" w:space="0" w:themeColor="accent2" w:themeTint="90"/>
        <w:right w:val="single" w:color="DB9B9A" w:sz="4" w:space="0" w:themeColor="accent2" w:themeTint="90"/>
        <w:bottom w:val="single" w:color="DB9B9A" w:sz="4" w:space="0" w:themeColor="accent2" w:themeTint="90"/>
        <w:insideH w:val="single" w:color="DB9B9A" w:sz="4" w:space="0" w:themeColor="accent2" w:themeTint="90"/>
      </w:tblBorders>
      <w:tblCellMar>
        <w:left w:w="108" w:type="dxa"/>
        <w:top w:w="0" w:type="dxa"/>
        <w:right w:w="108" w:type="dxa"/>
        <w:bottom w:w="0" w:type="dxa"/>
      </w:tblCellMar>
    </w:tblPr>
    <w:tblStylePr w:type="band1Horz">
      <w:rPr>
        <w:rFonts w:ascii="Arial" w:hAnsi="Arial"/>
        <w:color w:val="404040"/>
        <w:sz w:val="22"/>
      </w:rPr>
      <w:tcPr>
        <w:shd w:val="clear" w:color="auto" w:fill="EFD2D2" w:themeFill="accent2" w:themeFillTint="40"/>
      </w:tcPr>
    </w:tblStylePr>
    <w:tblStylePr w:type="band1Vert">
      <w:rPr>
        <w:rFonts w:ascii="Arial" w:hAnsi="Arial"/>
        <w:color w:val="404040"/>
        <w:sz w:val="22"/>
      </w:rPr>
      <w:tcPr>
        <w:shd w:val="clear" w:color="auto" w:fill="EFD2D2" w:themeFill="accent2" w:themeFillTint="40"/>
      </w:tcPr>
    </w:tblStylePr>
    <w:tblStylePr w:type="firstCol">
      <w:rPr>
        <w:b/>
        <w:color w:val="404040"/>
      </w:rPr>
    </w:tblStylePr>
    <w:tblStylePr w:type="firstRow">
      <w:rPr>
        <w:rFonts w:ascii="Arial" w:hAnsi="Arial"/>
        <w:b/>
        <w:color w:val="FFFFFF"/>
        <w:sz w:val="22"/>
      </w:rPr>
      <w:tcPr>
        <w:shd w:val="clear" w:color="auto" w:fill="C0504D" w:themeFill="accent2"/>
      </w:tcPr>
    </w:tblStylePr>
    <w:tblStylePr w:type="lastCol">
      <w:rPr>
        <w:b/>
        <w:color w:val="404040"/>
      </w:rPr>
    </w:tblStylePr>
    <w:tblStylePr w:type="lastRow">
      <w:rPr>
        <w:b/>
        <w:color w:val="404040"/>
      </w:rPr>
    </w:tblStylePr>
  </w:style>
  <w:style w:type="table" w:styleId="503" w:customStyle="1">
    <w:name w:val="List Table 4 - Accent 3"/>
    <w:basedOn w:val="395"/>
    <w:uiPriority w:val="99"/>
    <w:pPr>
      <w:spacing w:lineRule="auto" w:line="240" w:after="0"/>
    </w:pPr>
    <w:tblPr>
      <w:tblStyleRowBandSize w:val="1"/>
      <w:tblStyleColBandSize w:val="1"/>
      <w:tblInd w:w="0" w:type="dxa"/>
      <w:tblBorders>
        <w:left w:val="single" w:color="C6D8A1" w:sz="4" w:space="0" w:themeColor="accent3" w:themeTint="90"/>
        <w:top w:val="single" w:color="C6D8A1" w:sz="4" w:space="0" w:themeColor="accent3" w:themeTint="90"/>
        <w:right w:val="single" w:color="C6D8A1" w:sz="4" w:space="0" w:themeColor="accent3" w:themeTint="90"/>
        <w:bottom w:val="single" w:color="C6D8A1" w:sz="4" w:space="0" w:themeColor="accent3" w:themeTint="90"/>
        <w:insideH w:val="single" w:color="C6D8A1" w:sz="4" w:space="0" w:themeColor="accent3" w:themeTint="90"/>
      </w:tblBorders>
      <w:tblCellMar>
        <w:left w:w="108" w:type="dxa"/>
        <w:top w:w="0" w:type="dxa"/>
        <w:right w:w="108" w:type="dxa"/>
        <w:bottom w:w="0" w:type="dxa"/>
      </w:tblCellMar>
    </w:tblPr>
    <w:tblStylePr w:type="band1Horz">
      <w:rPr>
        <w:rFonts w:ascii="Arial" w:hAnsi="Arial"/>
        <w:color w:val="404040"/>
        <w:sz w:val="22"/>
      </w:rPr>
      <w:tcPr>
        <w:shd w:val="clear" w:color="auto" w:fill="E5EED5" w:themeFill="accent3" w:themeFillTint="40"/>
      </w:tcPr>
    </w:tblStylePr>
    <w:tblStylePr w:type="band1Vert">
      <w:rPr>
        <w:rFonts w:ascii="Arial" w:hAnsi="Arial"/>
        <w:color w:val="404040"/>
        <w:sz w:val="22"/>
      </w:rPr>
      <w:tcPr>
        <w:shd w:val="clear" w:color="auto" w:fill="E5EED5" w:themeFill="accent3" w:themeFillTint="40"/>
      </w:tcPr>
    </w:tblStylePr>
    <w:tblStylePr w:type="firstCol">
      <w:rPr>
        <w:b/>
        <w:color w:val="404040"/>
      </w:rPr>
    </w:tblStylePr>
    <w:tblStylePr w:type="firstRow">
      <w:rPr>
        <w:rFonts w:ascii="Arial" w:hAnsi="Arial"/>
        <w:b/>
        <w:color w:val="FFFFFF"/>
        <w:sz w:val="22"/>
      </w:rPr>
      <w:tcPr>
        <w:shd w:val="clear" w:color="auto" w:fill="9BBB59" w:themeFill="accent3"/>
      </w:tcPr>
    </w:tblStylePr>
    <w:tblStylePr w:type="lastCol">
      <w:rPr>
        <w:b/>
        <w:color w:val="404040"/>
      </w:rPr>
    </w:tblStylePr>
    <w:tblStylePr w:type="lastRow">
      <w:rPr>
        <w:b/>
        <w:color w:val="404040"/>
      </w:rPr>
    </w:tblStylePr>
  </w:style>
  <w:style w:type="table" w:styleId="504" w:customStyle="1">
    <w:name w:val="List Table 4 - Accent 4"/>
    <w:basedOn w:val="395"/>
    <w:uiPriority w:val="99"/>
    <w:pPr>
      <w:spacing w:lineRule="auto" w:line="240" w:after="0"/>
    </w:pPr>
    <w:tblPr>
      <w:tblStyleRowBandSize w:val="1"/>
      <w:tblStyleColBandSize w:val="1"/>
      <w:tblInd w:w="0" w:type="dxa"/>
      <w:tblBorders>
        <w:left w:val="single" w:color="B7A7CA" w:sz="4" w:space="0" w:themeColor="accent4" w:themeTint="90"/>
        <w:top w:val="single" w:color="B7A7CA" w:sz="4" w:space="0" w:themeColor="accent4" w:themeTint="90"/>
        <w:right w:val="single" w:color="B7A7CA" w:sz="4" w:space="0" w:themeColor="accent4" w:themeTint="90"/>
        <w:bottom w:val="single" w:color="B7A7CA" w:sz="4" w:space="0" w:themeColor="accent4" w:themeTint="90"/>
        <w:insideH w:val="single" w:color="B7A7CA" w:sz="4" w:space="0" w:themeColor="accent4" w:themeTint="90"/>
      </w:tblBorders>
      <w:tblCellMar>
        <w:left w:w="108" w:type="dxa"/>
        <w:top w:w="0" w:type="dxa"/>
        <w:right w:w="108" w:type="dxa"/>
        <w:bottom w:w="0" w:type="dxa"/>
      </w:tblCellMar>
    </w:tblPr>
    <w:tblStylePr w:type="band1Horz">
      <w:rPr>
        <w:rFonts w:ascii="Arial" w:hAnsi="Arial"/>
        <w:color w:val="404040"/>
        <w:sz w:val="22"/>
      </w:rPr>
      <w:tcPr>
        <w:shd w:val="clear" w:color="auto" w:fill="DFD8E7" w:themeFill="accent4" w:themeFillTint="40"/>
      </w:tcPr>
    </w:tblStylePr>
    <w:tblStylePr w:type="band1Vert">
      <w:rPr>
        <w:rFonts w:ascii="Arial" w:hAnsi="Arial"/>
        <w:color w:val="404040"/>
        <w:sz w:val="22"/>
      </w:rPr>
      <w:tcPr>
        <w:shd w:val="clear" w:color="auto" w:fill="DFD8E7" w:themeFill="accent4" w:themeFillTint="40"/>
      </w:tcPr>
    </w:tblStylePr>
    <w:tblStylePr w:type="firstCol">
      <w:rPr>
        <w:b/>
        <w:color w:val="404040"/>
      </w:rPr>
    </w:tblStylePr>
    <w:tblStylePr w:type="firstRow">
      <w:rPr>
        <w:rFonts w:ascii="Arial" w:hAnsi="Arial"/>
        <w:b/>
        <w:color w:val="FFFFFF"/>
        <w:sz w:val="22"/>
      </w:rPr>
      <w:tcPr>
        <w:shd w:val="clear" w:color="auto" w:fill="8064A2" w:themeFill="accent4"/>
      </w:tcPr>
    </w:tblStylePr>
    <w:tblStylePr w:type="lastCol">
      <w:rPr>
        <w:b/>
        <w:color w:val="404040"/>
      </w:rPr>
    </w:tblStylePr>
    <w:tblStylePr w:type="lastRow">
      <w:rPr>
        <w:b/>
        <w:color w:val="404040"/>
      </w:rPr>
    </w:tblStylePr>
  </w:style>
  <w:style w:type="table" w:styleId="505" w:customStyle="1">
    <w:name w:val="List Table 4 - Accent 5"/>
    <w:basedOn w:val="395"/>
    <w:uiPriority w:val="99"/>
    <w:pPr>
      <w:spacing w:lineRule="auto" w:line="240" w:after="0"/>
    </w:pPr>
    <w:tblPr>
      <w:tblStyleRowBandSize w:val="1"/>
      <w:tblStyleColBandSize w:val="1"/>
      <w:tblInd w:w="0" w:type="dxa"/>
      <w:tblBorders>
        <w:left w:val="single" w:color="99D0DE" w:sz="4" w:space="0" w:themeColor="accent5" w:themeTint="90"/>
        <w:top w:val="single" w:color="99D0DE" w:sz="4" w:space="0" w:themeColor="accent5" w:themeTint="90"/>
        <w:right w:val="single" w:color="99D0DE" w:sz="4" w:space="0" w:themeColor="accent5" w:themeTint="90"/>
        <w:bottom w:val="single" w:color="99D0DE" w:sz="4" w:space="0" w:themeColor="accent5" w:themeTint="90"/>
        <w:insideH w:val="single" w:color="99D0DE" w:sz="4" w:space="0" w:themeColor="accent5" w:themeTint="90"/>
      </w:tblBorders>
      <w:tblCellMar>
        <w:left w:w="108" w:type="dxa"/>
        <w:top w:w="0" w:type="dxa"/>
        <w:right w:w="108" w:type="dxa"/>
        <w:bottom w:w="0" w:type="dxa"/>
      </w:tblCellMar>
    </w:tblPr>
    <w:tblStylePr w:type="band1Horz">
      <w:rPr>
        <w:rFonts w:ascii="Arial" w:hAnsi="Arial"/>
        <w:color w:val="404040"/>
        <w:sz w:val="22"/>
      </w:rPr>
      <w:tcPr>
        <w:shd w:val="clear" w:color="auto" w:fill="D1EAF0" w:themeFill="accent5" w:themeFillTint="40"/>
      </w:tcPr>
    </w:tblStylePr>
    <w:tblStylePr w:type="band1Vert">
      <w:rPr>
        <w:rFonts w:ascii="Arial" w:hAnsi="Arial"/>
        <w:color w:val="404040"/>
        <w:sz w:val="22"/>
      </w:rPr>
      <w:tcPr>
        <w:shd w:val="clear" w:color="auto" w:fill="D1EAF0" w:themeFill="accent5" w:themeFillTint="40"/>
      </w:tcPr>
    </w:tblStylePr>
    <w:tblStylePr w:type="firstCol">
      <w:rPr>
        <w:b/>
        <w:color w:val="404040"/>
      </w:rPr>
    </w:tblStylePr>
    <w:tblStylePr w:type="firstRow">
      <w:rPr>
        <w:rFonts w:ascii="Arial" w:hAnsi="Arial"/>
        <w:b/>
        <w:color w:val="FFFFFF"/>
        <w:sz w:val="22"/>
      </w:rPr>
      <w:tcPr>
        <w:shd w:val="clear" w:color="auto" w:fill="4BACC6" w:themeFill="accent5"/>
      </w:tcPr>
    </w:tblStylePr>
    <w:tblStylePr w:type="lastCol">
      <w:rPr>
        <w:b/>
        <w:color w:val="404040"/>
      </w:rPr>
    </w:tblStylePr>
    <w:tblStylePr w:type="lastRow">
      <w:rPr>
        <w:b/>
        <w:color w:val="404040"/>
      </w:rPr>
    </w:tblStylePr>
  </w:style>
  <w:style w:type="table" w:styleId="506" w:customStyle="1">
    <w:name w:val="List Table 4 - Accent 6"/>
    <w:basedOn w:val="395"/>
    <w:uiPriority w:val="99"/>
    <w:pPr>
      <w:spacing w:lineRule="auto" w:line="240" w:after="0"/>
    </w:pPr>
    <w:tblPr>
      <w:tblStyleRowBandSize w:val="1"/>
      <w:tblStyleColBandSize w:val="1"/>
      <w:tblInd w:w="0" w:type="dxa"/>
      <w:tblBorders>
        <w:left w:val="single" w:color="FAC396" w:sz="4" w:space="0" w:themeColor="accent6" w:themeTint="90"/>
        <w:top w:val="single" w:color="FAC396" w:sz="4" w:space="0" w:themeColor="accent6" w:themeTint="90"/>
        <w:right w:val="single" w:color="FAC396" w:sz="4" w:space="0" w:themeColor="accent6" w:themeTint="90"/>
        <w:bottom w:val="single" w:color="FAC396" w:sz="4" w:space="0" w:themeColor="accent6" w:themeTint="90"/>
        <w:insideH w:val="single" w:color="FAC396" w:sz="4" w:space="0" w:themeColor="accent6" w:themeTint="90"/>
      </w:tblBorders>
      <w:tblCellMar>
        <w:left w:w="108" w:type="dxa"/>
        <w:top w:w="0" w:type="dxa"/>
        <w:right w:w="108" w:type="dxa"/>
        <w:bottom w:w="0" w:type="dxa"/>
      </w:tblCellMar>
    </w:tblPr>
    <w:tblStylePr w:type="band1Horz">
      <w:rPr>
        <w:rFonts w:ascii="Arial" w:hAnsi="Arial"/>
        <w:color w:val="404040"/>
        <w:sz w:val="22"/>
      </w:rPr>
      <w:tcPr>
        <w:shd w:val="clear" w:color="auto" w:fill="FDE4D0" w:themeFill="accent6" w:themeFillTint="40"/>
      </w:tcPr>
    </w:tblStylePr>
    <w:tblStylePr w:type="band1Vert">
      <w:rPr>
        <w:rFonts w:ascii="Arial" w:hAnsi="Arial"/>
        <w:color w:val="404040"/>
        <w:sz w:val="22"/>
      </w:rPr>
      <w:tcPr>
        <w:shd w:val="clear" w:color="auto" w:fill="FDE4D0" w:themeFill="accent6" w:themeFillTint="40"/>
      </w:tcPr>
    </w:tblStylePr>
    <w:tblStylePr w:type="firstCol">
      <w:rPr>
        <w:b/>
        <w:color w:val="404040"/>
      </w:rPr>
    </w:tblStylePr>
    <w:tblStylePr w:type="firstRow">
      <w:rPr>
        <w:rFonts w:ascii="Arial" w:hAnsi="Arial"/>
        <w:b/>
        <w:color w:val="FFFFFF"/>
        <w:sz w:val="22"/>
      </w:rPr>
      <w:tcPr>
        <w:shd w:val="clear" w:color="auto" w:fill="F79646" w:themeFill="accent6"/>
      </w:tcPr>
    </w:tblStylePr>
    <w:tblStylePr w:type="lastCol">
      <w:rPr>
        <w:b/>
        <w:color w:val="404040"/>
      </w:rPr>
    </w:tblStylePr>
    <w:tblStylePr w:type="lastRow">
      <w:rPr>
        <w:b/>
        <w:color w:val="404040"/>
      </w:rPr>
    </w:tblStylePr>
  </w:style>
  <w:style w:type="table" w:styleId="507" w:customStyle="1">
    <w:name w:val="List Table 5 Dark"/>
    <w:basedOn w:val="395"/>
    <w:uiPriority w:val="99"/>
    <w:pPr>
      <w:spacing w:lineRule="auto" w:line="240" w:after="0"/>
    </w:pPr>
    <w:tblPr>
      <w:tblStyleRowBandSize w:val="1"/>
      <w:tblStyleColBandSize w:val="1"/>
      <w:tblInd w:w="0" w:type="dxa"/>
      <w:tblBorders>
        <w:left w:val="single" w:color="7F7F7F" w:sz="32" w:space="0" w:themeColor="text1" w:themeTint="80"/>
        <w:top w:val="single" w:color="7F7F7F" w:sz="32" w:space="0" w:themeColor="text1" w:themeTint="80"/>
        <w:right w:val="single" w:color="7F7F7F" w:sz="32" w:space="0" w:themeColor="text1" w:themeTint="80"/>
        <w:bottom w:val="single" w:color="7F7F7F" w:sz="32" w:space="0" w:themeColor="text1" w:themeTint="80"/>
      </w:tblBorders>
      <w:shd w:val="clear" w:color="auto" w:fill="7F7F7F" w:themeFill="text1" w:themeFillTint="80"/>
      <w:tblCellMar>
        <w:left w:w="108" w:type="dxa"/>
        <w:top w:w="0" w:type="dxa"/>
        <w:right w:w="108" w:type="dxa"/>
        <w:bottom w:w="0" w:type="dxa"/>
      </w:tblCellMar>
    </w:tblPr>
    <w:tblStylePr w:type="band1Horz">
      <w:tcPr>
        <w:shd w:val="clear" w:color="auto" w:fill="7F7F7F" w:themeFill="text1" w:themeFillTint="80"/>
        <w:tcBorders>
          <w:top w:val="single" w:color="FFFFFF" w:sz="4" w:space="0" w:themeColor="light1"/>
          <w:bottom w:val="single" w:color="FFFFFF" w:sz="4" w:space="0" w:themeColor="light1"/>
        </w:tcBorders>
      </w:tcPr>
    </w:tblStylePr>
    <w:tblStylePr w:type="band1Vert">
      <w:tcPr>
        <w:shd w:val="clear" w:color="auto" w:fill="7F7F7F" w:themeFill="text1" w:themeFillTint="80"/>
        <w:tcBorders>
          <w:left w:val="single" w:color="FFFFFF" w:sz="4" w:space="0" w:themeColor="light1"/>
          <w:right w:val="single" w:color="FFFFFF" w:sz="4" w:space="0" w:themeColor="light1"/>
        </w:tcBorders>
      </w:tcPr>
    </w:tblStylePr>
    <w:tblStylePr w:type="band2Horz">
      <w:tcPr>
        <w:shd w:val="clear" w:color="auto" w:fill="7F7F7F" w:themeFill="text1" w:themeFillTint="80"/>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7F7F7F" w:sz="32" w:space="0" w:themeColor="text1" w:themeTint="80"/>
          <w:right w:val="single" w:color="FFFFFF" w:sz="4" w:space="0" w:themeColor="light1"/>
        </w:tcBorders>
      </w:tcPr>
    </w:tblStylePr>
    <w:tblStylePr w:type="firstRow">
      <w:rPr>
        <w:rFonts w:ascii="Arial" w:hAnsi="Arial"/>
        <w:b/>
        <w:color w:val="FFFFFF" w:themeColor="light1"/>
        <w:sz w:val="22"/>
      </w:rPr>
      <w:tcPr>
        <w:shd w:val="clear" w:color="auto" w:fill="7F7F7F" w:themeFill="text1" w:themeFillTint="80"/>
        <w:tcBorders>
          <w:top w:val="single" w:color="7F7F7F" w:sz="32" w:space="0" w:themeColor="text1" w:themeTint="80"/>
          <w:bottom w:val="single" w:color="FFFFFF" w:sz="12" w:space="0" w:themeColor="light1"/>
        </w:tcBorders>
      </w:tcPr>
    </w:tblStylePr>
    <w:tblStylePr w:type="lastCol">
      <w:tcPr>
        <w:tcBorders>
          <w:left w:val="single" w:color="FFFFFF" w:sz="4" w:space="0" w:themeColor="light1"/>
          <w:right w:val="single" w:color="7F7F7F" w:sz="32" w:space="0" w:themeColor="text1" w:themeTint="80"/>
        </w:tcBorders>
      </w:tcPr>
    </w:tblStylePr>
    <w:tblStylePr w:type="lastRow">
      <w:rPr>
        <w:rFonts w:ascii="Arial" w:hAnsi="Arial"/>
        <w:b/>
        <w:color w:val="FFFFFF" w:themeColor="light1"/>
        <w:sz w:val="22"/>
      </w:rPr>
    </w:tblStylePr>
  </w:style>
  <w:style w:type="table" w:styleId="508" w:customStyle="1">
    <w:name w:val="List Table 5 Dark - Accent 1"/>
    <w:basedOn w:val="395"/>
    <w:uiPriority w:val="99"/>
    <w:pPr>
      <w:spacing w:lineRule="auto" w:line="240" w:after="0"/>
    </w:pPr>
    <w:tblPr>
      <w:tblStyleRowBandSize w:val="1"/>
      <w:tblStyleColBandSize w:val="1"/>
      <w:tblInd w:w="0" w:type="dxa"/>
      <w:tblBorders>
        <w:left w:val="single" w:color="4F81BD" w:sz="32" w:space="0" w:themeColor="accent1"/>
        <w:top w:val="single" w:color="4F81BD" w:sz="32" w:space="0" w:themeColor="accent1"/>
        <w:right w:val="single" w:color="4F81BD" w:sz="32" w:space="0" w:themeColor="accent1"/>
        <w:bottom w:val="single" w:color="4F81BD" w:sz="32" w:space="0" w:themeColor="accent1"/>
      </w:tblBorders>
      <w:shd w:val="clear" w:color="auto" w:fill="4F81BD" w:themeFill="accent1"/>
      <w:tblCellMar>
        <w:left w:w="108" w:type="dxa"/>
        <w:top w:w="0" w:type="dxa"/>
        <w:right w:w="108" w:type="dxa"/>
        <w:bottom w:w="0" w:type="dxa"/>
      </w:tblCellMar>
    </w:tblPr>
    <w:tblStylePr w:type="band1Horz">
      <w:tcPr>
        <w:shd w:val="clear" w:color="auto" w:fill="4F81BD" w:themeFill="accent1"/>
        <w:tcBorders>
          <w:top w:val="single" w:color="FFFFFF" w:sz="4" w:space="0" w:themeColor="light1"/>
          <w:bottom w:val="single" w:color="FFFFFF" w:sz="4" w:space="0" w:themeColor="light1"/>
        </w:tcBorders>
      </w:tcPr>
    </w:tblStylePr>
    <w:tblStylePr w:type="band1Vert">
      <w:tcPr>
        <w:shd w:val="clear" w:color="auto" w:fill="4F81BD" w:themeFill="accent1"/>
        <w:tcBorders>
          <w:left w:val="single" w:color="FFFFFF" w:sz="4" w:space="0" w:themeColor="light1"/>
          <w:right w:val="single" w:color="FFFFFF" w:sz="4" w:space="0" w:themeColor="light1"/>
        </w:tcBorders>
      </w:tcPr>
    </w:tblStylePr>
    <w:tblStylePr w:type="band2Horz">
      <w:tcPr>
        <w:shd w:val="clear" w:color="auto" w:fill="4F81BD" w:themeFill="accent1"/>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4F81BD" w:sz="32" w:space="0" w:themeColor="accent1"/>
          <w:right w:val="single" w:color="FFFFFF" w:sz="4" w:space="0" w:themeColor="light1"/>
        </w:tcBorders>
      </w:tcPr>
    </w:tblStylePr>
    <w:tblStylePr w:type="firstRow">
      <w:rPr>
        <w:rFonts w:ascii="Arial" w:hAnsi="Arial"/>
        <w:b/>
        <w:color w:val="FFFFFF" w:themeColor="light1"/>
        <w:sz w:val="22"/>
      </w:rPr>
      <w:tcPr>
        <w:shd w:val="clear" w:color="auto" w:fill="4F81BD" w:themeFill="accent1"/>
        <w:tcBorders>
          <w:top w:val="single" w:color="4F81BD" w:sz="32" w:space="0" w:themeColor="accent1"/>
          <w:bottom w:val="single" w:color="FFFFFF" w:sz="12" w:space="0" w:themeColor="light1"/>
        </w:tcBorders>
      </w:tcPr>
    </w:tblStylePr>
    <w:tblStylePr w:type="lastCol">
      <w:tcPr>
        <w:tcBorders>
          <w:left w:val="single" w:color="FFFFFF" w:sz="4" w:space="0" w:themeColor="light1"/>
          <w:right w:val="single" w:color="4F81BD" w:sz="32" w:space="0" w:themeColor="accent1"/>
        </w:tcBorders>
      </w:tcPr>
    </w:tblStylePr>
    <w:tblStylePr w:type="lastRow">
      <w:rPr>
        <w:rFonts w:ascii="Arial" w:hAnsi="Arial"/>
        <w:b/>
        <w:color w:val="FFFFFF" w:themeColor="light1"/>
        <w:sz w:val="22"/>
      </w:rPr>
    </w:tblStylePr>
  </w:style>
  <w:style w:type="table" w:styleId="509" w:customStyle="1">
    <w:name w:val="List Table 5 Dark - Accent 2"/>
    <w:basedOn w:val="395"/>
    <w:uiPriority w:val="99"/>
    <w:pPr>
      <w:spacing w:lineRule="auto" w:line="240" w:after="0"/>
    </w:pPr>
    <w:tblPr>
      <w:tblStyleRowBandSize w:val="1"/>
      <w:tblStyleColBandSize w:val="1"/>
      <w:tblInd w:w="0" w:type="dxa"/>
      <w:tblBorders>
        <w:left w:val="single" w:color="D99695" w:sz="32" w:space="0" w:themeColor="accent2" w:themeTint="97"/>
        <w:top w:val="single" w:color="D99695" w:sz="32" w:space="0" w:themeColor="accent2" w:themeTint="97"/>
        <w:right w:val="single" w:color="D99695" w:sz="32" w:space="0" w:themeColor="accent2" w:themeTint="97"/>
        <w:bottom w:val="single" w:color="D99695" w:sz="32" w:space="0" w:themeColor="accent2" w:themeTint="97"/>
      </w:tblBorders>
      <w:shd w:val="clear" w:color="auto" w:fill="D99695" w:themeFill="accent2" w:themeFillTint="97"/>
      <w:tblCellMar>
        <w:left w:w="108" w:type="dxa"/>
        <w:top w:w="0" w:type="dxa"/>
        <w:right w:w="108" w:type="dxa"/>
        <w:bottom w:w="0" w:type="dxa"/>
      </w:tblCellMar>
    </w:tblPr>
    <w:tblStylePr w:type="band1Horz">
      <w:tcPr>
        <w:shd w:val="clear" w:color="auto" w:fill="D99695" w:themeFill="accent2" w:themeFillTint="97"/>
        <w:tcBorders>
          <w:top w:val="single" w:color="FFFFFF" w:sz="4" w:space="0" w:themeColor="light1"/>
          <w:bottom w:val="single" w:color="FFFFFF" w:sz="4" w:space="0" w:themeColor="light1"/>
        </w:tcBorders>
      </w:tcPr>
    </w:tblStylePr>
    <w:tblStylePr w:type="band1Vert">
      <w:tcPr>
        <w:shd w:val="clear" w:color="auto" w:fill="D99695" w:themeFill="accent2" w:themeFillTint="97"/>
        <w:tcBorders>
          <w:left w:val="single" w:color="FFFFFF" w:sz="4" w:space="0" w:themeColor="light1"/>
          <w:right w:val="single" w:color="FFFFFF" w:sz="4" w:space="0" w:themeColor="light1"/>
        </w:tcBorders>
      </w:tcPr>
    </w:tblStylePr>
    <w:tblStylePr w:type="band2Horz">
      <w:tcPr>
        <w:shd w:val="clear" w:color="auto" w:fill="D99695" w:themeFill="accent2" w:themeFillTint="97"/>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D99695" w:sz="32" w:space="0" w:themeColor="accent2" w:themeTint="97"/>
          <w:right w:val="single" w:color="FFFFFF" w:sz="4" w:space="0" w:themeColor="light1"/>
        </w:tcBorders>
      </w:tcPr>
    </w:tblStylePr>
    <w:tblStylePr w:type="firstRow">
      <w:rPr>
        <w:rFonts w:ascii="Arial" w:hAnsi="Arial"/>
        <w:b/>
        <w:color w:val="FFFFFF" w:themeColor="light1"/>
        <w:sz w:val="22"/>
      </w:rPr>
      <w:tcPr>
        <w:shd w:val="clear" w:color="auto" w:fill="D99695" w:themeFill="accent2" w:themeFillTint="97"/>
        <w:tcBorders>
          <w:top w:val="single" w:color="D99695" w:sz="32" w:space="0" w:themeColor="accent2" w:themeTint="97"/>
          <w:bottom w:val="single" w:color="FFFFFF" w:sz="12" w:space="0" w:themeColor="light1"/>
        </w:tcBorders>
      </w:tcPr>
    </w:tblStylePr>
    <w:tblStylePr w:type="lastCol">
      <w:tcPr>
        <w:tcBorders>
          <w:left w:val="single" w:color="FFFFFF" w:sz="4" w:space="0" w:themeColor="light1"/>
          <w:right w:val="single" w:color="D99695" w:sz="32" w:space="0" w:themeColor="accent2" w:themeTint="97"/>
        </w:tcBorders>
      </w:tcPr>
    </w:tblStylePr>
    <w:tblStylePr w:type="lastRow">
      <w:rPr>
        <w:rFonts w:ascii="Arial" w:hAnsi="Arial"/>
        <w:b/>
        <w:color w:val="FFFFFF" w:themeColor="light1"/>
        <w:sz w:val="22"/>
      </w:rPr>
    </w:tblStylePr>
  </w:style>
  <w:style w:type="table" w:styleId="510" w:customStyle="1">
    <w:name w:val="List Table 5 Dark - Accent 3"/>
    <w:basedOn w:val="395"/>
    <w:uiPriority w:val="99"/>
    <w:pPr>
      <w:spacing w:lineRule="auto" w:line="240" w:after="0"/>
    </w:pPr>
    <w:tblPr>
      <w:tblStyleRowBandSize w:val="1"/>
      <w:tblStyleColBandSize w:val="1"/>
      <w:tblInd w:w="0" w:type="dxa"/>
      <w:tblBorders>
        <w:left w:val="single" w:color="C3D69B" w:sz="32" w:space="0" w:themeColor="accent3" w:themeTint="98"/>
        <w:top w:val="single" w:color="C3D69B" w:sz="32" w:space="0" w:themeColor="accent3" w:themeTint="98"/>
        <w:right w:val="single" w:color="C3D69B" w:sz="32" w:space="0" w:themeColor="accent3" w:themeTint="98"/>
        <w:bottom w:val="single" w:color="C3D69B" w:sz="32" w:space="0" w:themeColor="accent3" w:themeTint="98"/>
      </w:tblBorders>
      <w:shd w:val="clear" w:color="auto" w:fill="C3D69B" w:themeFill="accent3" w:themeFillTint="98"/>
      <w:tblCellMar>
        <w:left w:w="108" w:type="dxa"/>
        <w:top w:w="0" w:type="dxa"/>
        <w:right w:w="108" w:type="dxa"/>
        <w:bottom w:w="0" w:type="dxa"/>
      </w:tblCellMar>
    </w:tblPr>
    <w:tblStylePr w:type="band1Horz">
      <w:tcPr>
        <w:shd w:val="clear" w:color="auto" w:fill="C3D69B" w:themeFill="accent3" w:themeFillTint="98"/>
        <w:tcBorders>
          <w:top w:val="single" w:color="FFFFFF" w:sz="4" w:space="0" w:themeColor="light1"/>
          <w:bottom w:val="single" w:color="FFFFFF" w:sz="4" w:space="0" w:themeColor="light1"/>
        </w:tcBorders>
      </w:tcPr>
    </w:tblStylePr>
    <w:tblStylePr w:type="band1Vert">
      <w:tcPr>
        <w:shd w:val="clear" w:color="auto" w:fill="C3D69B" w:themeFill="accent3" w:themeFillTint="98"/>
        <w:tcBorders>
          <w:left w:val="single" w:color="FFFFFF" w:sz="4" w:space="0" w:themeColor="light1"/>
          <w:right w:val="single" w:color="FFFFFF" w:sz="4" w:space="0" w:themeColor="light1"/>
        </w:tcBorders>
      </w:tcPr>
    </w:tblStylePr>
    <w:tblStylePr w:type="band2Horz">
      <w:tcPr>
        <w:shd w:val="clear" w:color="auto" w:fill="C3D69B" w:themeFill="accent3" w:themeFillTint="98"/>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C3D69B" w:sz="32" w:space="0" w:themeColor="accent3" w:themeTint="98"/>
          <w:right w:val="single" w:color="FFFFFF" w:sz="4" w:space="0" w:themeColor="light1"/>
        </w:tcBorders>
      </w:tcPr>
    </w:tblStylePr>
    <w:tblStylePr w:type="firstRow">
      <w:rPr>
        <w:rFonts w:ascii="Arial" w:hAnsi="Arial"/>
        <w:b/>
        <w:color w:val="FFFFFF" w:themeColor="light1"/>
        <w:sz w:val="22"/>
      </w:rPr>
      <w:tcPr>
        <w:shd w:val="clear" w:color="auto" w:fill="C3D69B" w:themeFill="accent3" w:themeFillTint="98"/>
        <w:tcBorders>
          <w:top w:val="single" w:color="C3D69B" w:sz="32" w:space="0" w:themeColor="accent3" w:themeTint="98"/>
          <w:bottom w:val="single" w:color="FFFFFF" w:sz="12" w:space="0" w:themeColor="light1"/>
        </w:tcBorders>
      </w:tcPr>
    </w:tblStylePr>
    <w:tblStylePr w:type="lastCol">
      <w:tcPr>
        <w:tcBorders>
          <w:left w:val="single" w:color="FFFFFF" w:sz="4" w:space="0" w:themeColor="light1"/>
          <w:right w:val="single" w:color="C3D69B" w:sz="32" w:space="0" w:themeColor="accent3" w:themeTint="98"/>
        </w:tcBorders>
      </w:tcPr>
    </w:tblStylePr>
    <w:tblStylePr w:type="lastRow">
      <w:rPr>
        <w:rFonts w:ascii="Arial" w:hAnsi="Arial"/>
        <w:b/>
        <w:color w:val="FFFFFF" w:themeColor="light1"/>
        <w:sz w:val="22"/>
      </w:rPr>
    </w:tblStylePr>
  </w:style>
  <w:style w:type="table" w:styleId="511" w:customStyle="1">
    <w:name w:val="List Table 5 Dark - Accent 4"/>
    <w:basedOn w:val="395"/>
    <w:uiPriority w:val="99"/>
    <w:pPr>
      <w:spacing w:lineRule="auto" w:line="240" w:after="0"/>
    </w:pPr>
    <w:tblPr>
      <w:tblStyleRowBandSize w:val="1"/>
      <w:tblStyleColBandSize w:val="1"/>
      <w:tblInd w:w="0" w:type="dxa"/>
      <w:tblBorders>
        <w:left w:val="single" w:color="B2A1C6" w:sz="32" w:space="0" w:themeColor="accent4" w:themeTint="9A"/>
        <w:top w:val="single" w:color="B2A1C6" w:sz="32" w:space="0" w:themeColor="accent4" w:themeTint="9A"/>
        <w:right w:val="single" w:color="B2A1C6" w:sz="32" w:space="0" w:themeColor="accent4" w:themeTint="9A"/>
        <w:bottom w:val="single" w:color="B2A1C6" w:sz="32" w:space="0" w:themeColor="accent4" w:themeTint="9A"/>
      </w:tblBorders>
      <w:shd w:val="clear" w:color="auto" w:fill="B2A1C6" w:themeFill="accent4" w:themeFillTint="9A"/>
      <w:tblCellMar>
        <w:left w:w="108" w:type="dxa"/>
        <w:top w:w="0" w:type="dxa"/>
        <w:right w:w="108" w:type="dxa"/>
        <w:bottom w:w="0" w:type="dxa"/>
      </w:tblCellMar>
    </w:tblPr>
    <w:tblStylePr w:type="band1Horz">
      <w:tcPr>
        <w:shd w:val="clear" w:color="auto" w:fill="B2A1C6" w:themeFill="accent4" w:themeFillTint="9A"/>
        <w:tcBorders>
          <w:top w:val="single" w:color="FFFFFF" w:sz="4" w:space="0" w:themeColor="light1"/>
          <w:bottom w:val="single" w:color="FFFFFF" w:sz="4" w:space="0" w:themeColor="light1"/>
        </w:tcBorders>
      </w:tcPr>
    </w:tblStylePr>
    <w:tblStylePr w:type="band1Vert">
      <w:tcPr>
        <w:shd w:val="clear" w:color="auto" w:fill="B2A1C6" w:themeFill="accent4" w:themeFillTint="9A"/>
        <w:tcBorders>
          <w:left w:val="single" w:color="FFFFFF" w:sz="4" w:space="0" w:themeColor="light1"/>
          <w:right w:val="single" w:color="FFFFFF" w:sz="4" w:space="0" w:themeColor="light1"/>
        </w:tcBorders>
      </w:tcPr>
    </w:tblStylePr>
    <w:tblStylePr w:type="band2Horz">
      <w:tcPr>
        <w:shd w:val="clear" w:color="auto" w:fill="B2A1C6" w:themeFill="accent4" w:themeFillTint="9A"/>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B2A1C6" w:sz="32" w:space="0" w:themeColor="accent4" w:themeTint="9A"/>
          <w:right w:val="single" w:color="FFFFFF" w:sz="4" w:space="0" w:themeColor="light1"/>
        </w:tcBorders>
      </w:tcPr>
    </w:tblStylePr>
    <w:tblStylePr w:type="firstRow">
      <w:rPr>
        <w:rFonts w:ascii="Arial" w:hAnsi="Arial"/>
        <w:b/>
        <w:color w:val="FFFFFF" w:themeColor="light1"/>
        <w:sz w:val="22"/>
      </w:rPr>
      <w:tcPr>
        <w:shd w:val="clear" w:color="auto" w:fill="B2A1C6" w:themeFill="accent4" w:themeFillTint="9A"/>
        <w:tcBorders>
          <w:top w:val="single" w:color="B2A1C6" w:sz="32" w:space="0" w:themeColor="accent4" w:themeTint="9A"/>
          <w:bottom w:val="single" w:color="FFFFFF" w:sz="12" w:space="0" w:themeColor="light1"/>
        </w:tcBorders>
      </w:tcPr>
    </w:tblStylePr>
    <w:tblStylePr w:type="lastCol">
      <w:tcPr>
        <w:tcBorders>
          <w:left w:val="single" w:color="FFFFFF" w:sz="4" w:space="0" w:themeColor="light1"/>
          <w:right w:val="single" w:color="B2A1C6" w:sz="32" w:space="0" w:themeColor="accent4" w:themeTint="9A"/>
        </w:tcBorders>
      </w:tcPr>
    </w:tblStylePr>
    <w:tblStylePr w:type="lastRow">
      <w:rPr>
        <w:rFonts w:ascii="Arial" w:hAnsi="Arial"/>
        <w:b/>
        <w:color w:val="FFFFFF" w:themeColor="light1"/>
        <w:sz w:val="22"/>
      </w:rPr>
    </w:tblStylePr>
  </w:style>
  <w:style w:type="table" w:styleId="512" w:customStyle="1">
    <w:name w:val="List Table 5 Dark - Accent 5"/>
    <w:basedOn w:val="395"/>
    <w:uiPriority w:val="99"/>
    <w:pPr>
      <w:spacing w:lineRule="auto" w:line="240" w:after="0"/>
    </w:pPr>
    <w:tblPr>
      <w:tblStyleRowBandSize w:val="1"/>
      <w:tblStyleColBandSize w:val="1"/>
      <w:tblInd w:w="0" w:type="dxa"/>
      <w:tblBorders>
        <w:left w:val="single" w:color="92CCDC" w:sz="32" w:space="0" w:themeColor="accent5" w:themeTint="9A"/>
        <w:top w:val="single" w:color="92CCDC" w:sz="32" w:space="0" w:themeColor="accent5" w:themeTint="9A"/>
        <w:right w:val="single" w:color="92CCDC" w:sz="32" w:space="0" w:themeColor="accent5" w:themeTint="9A"/>
        <w:bottom w:val="single" w:color="92CCDC" w:sz="32" w:space="0" w:themeColor="accent5" w:themeTint="9A"/>
      </w:tblBorders>
      <w:shd w:val="clear" w:color="auto" w:fill="92CCDC" w:themeFill="accent5" w:themeFillTint="9A"/>
      <w:tblCellMar>
        <w:left w:w="108" w:type="dxa"/>
        <w:top w:w="0" w:type="dxa"/>
        <w:right w:w="108" w:type="dxa"/>
        <w:bottom w:w="0" w:type="dxa"/>
      </w:tblCellMar>
    </w:tblPr>
    <w:tblStylePr w:type="band1Horz">
      <w:tcPr>
        <w:shd w:val="clear" w:color="auto" w:fill="92CCDC" w:themeFill="accent5" w:themeFillTint="9A"/>
        <w:tcBorders>
          <w:top w:val="single" w:color="FFFFFF" w:sz="4" w:space="0" w:themeColor="light1"/>
          <w:bottom w:val="single" w:color="FFFFFF" w:sz="4" w:space="0" w:themeColor="light1"/>
        </w:tcBorders>
      </w:tcPr>
    </w:tblStylePr>
    <w:tblStylePr w:type="band1Vert">
      <w:tcPr>
        <w:shd w:val="clear" w:color="auto" w:fill="92CCDC" w:themeFill="accent5" w:themeFillTint="9A"/>
        <w:tcBorders>
          <w:left w:val="single" w:color="FFFFFF" w:sz="4" w:space="0" w:themeColor="light1"/>
          <w:right w:val="single" w:color="FFFFFF" w:sz="4" w:space="0" w:themeColor="light1"/>
        </w:tcBorders>
      </w:tcPr>
    </w:tblStylePr>
    <w:tblStylePr w:type="band2Horz">
      <w:tcPr>
        <w:shd w:val="clear" w:color="auto" w:fill="92CCDC" w:themeFill="accent5" w:themeFillTint="9A"/>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92CCDC" w:sz="32" w:space="0" w:themeColor="accent5" w:themeTint="9A"/>
          <w:right w:val="single" w:color="FFFFFF" w:sz="4" w:space="0" w:themeColor="light1"/>
        </w:tcBorders>
      </w:tcPr>
    </w:tblStylePr>
    <w:tblStylePr w:type="firstRow">
      <w:rPr>
        <w:rFonts w:ascii="Arial" w:hAnsi="Arial"/>
        <w:b/>
        <w:color w:val="FFFFFF" w:themeColor="light1"/>
        <w:sz w:val="22"/>
      </w:rPr>
      <w:tcPr>
        <w:shd w:val="clear" w:color="auto" w:fill="92CCDC" w:themeFill="accent5" w:themeFillTint="9A"/>
        <w:tcBorders>
          <w:top w:val="single" w:color="92CCDC" w:sz="32" w:space="0" w:themeColor="accent5" w:themeTint="9A"/>
          <w:bottom w:val="single" w:color="FFFFFF" w:sz="12" w:space="0" w:themeColor="light1"/>
        </w:tcBorders>
      </w:tcPr>
    </w:tblStylePr>
    <w:tblStylePr w:type="lastCol">
      <w:tcPr>
        <w:tcBorders>
          <w:left w:val="single" w:color="FFFFFF" w:sz="4" w:space="0" w:themeColor="light1"/>
          <w:right w:val="single" w:color="92CCDC" w:sz="32" w:space="0" w:themeColor="accent5" w:themeTint="9A"/>
        </w:tcBorders>
      </w:tcPr>
    </w:tblStylePr>
    <w:tblStylePr w:type="lastRow">
      <w:rPr>
        <w:rFonts w:ascii="Arial" w:hAnsi="Arial"/>
        <w:b/>
        <w:color w:val="FFFFFF" w:themeColor="light1"/>
        <w:sz w:val="22"/>
      </w:rPr>
    </w:tblStylePr>
  </w:style>
  <w:style w:type="table" w:styleId="513" w:customStyle="1">
    <w:name w:val="List Table 5 Dark - Accent 6"/>
    <w:basedOn w:val="395"/>
    <w:uiPriority w:val="99"/>
    <w:pPr>
      <w:spacing w:lineRule="auto" w:line="240" w:after="0"/>
    </w:pPr>
    <w:tblPr>
      <w:tblStyleRowBandSize w:val="1"/>
      <w:tblStyleColBandSize w:val="1"/>
      <w:tblInd w:w="0" w:type="dxa"/>
      <w:tblBorders>
        <w:left w:val="single" w:color="FAC090" w:sz="32" w:space="0" w:themeColor="accent6" w:themeTint="98"/>
        <w:top w:val="single" w:color="FAC090" w:sz="32" w:space="0" w:themeColor="accent6" w:themeTint="98"/>
        <w:right w:val="single" w:color="FAC090" w:sz="32" w:space="0" w:themeColor="accent6" w:themeTint="98"/>
        <w:bottom w:val="single" w:color="FAC090" w:sz="32" w:space="0" w:themeColor="accent6" w:themeTint="98"/>
      </w:tblBorders>
      <w:shd w:val="clear" w:color="auto" w:fill="FAC090" w:themeFill="accent6" w:themeFillTint="98"/>
      <w:tblCellMar>
        <w:left w:w="108" w:type="dxa"/>
        <w:top w:w="0" w:type="dxa"/>
        <w:right w:w="108" w:type="dxa"/>
        <w:bottom w:w="0" w:type="dxa"/>
      </w:tblCellMar>
    </w:tblPr>
    <w:tblStylePr w:type="band1Horz">
      <w:tcPr>
        <w:shd w:val="clear" w:color="auto" w:fill="FAC090" w:themeFill="accent6" w:themeFillTint="98"/>
        <w:tcBorders>
          <w:top w:val="single" w:color="FFFFFF" w:sz="4" w:space="0" w:themeColor="light1"/>
          <w:bottom w:val="single" w:color="FFFFFF" w:sz="4" w:space="0" w:themeColor="light1"/>
        </w:tcBorders>
      </w:tcPr>
    </w:tblStylePr>
    <w:tblStylePr w:type="band1Vert">
      <w:tcPr>
        <w:shd w:val="clear" w:color="auto" w:fill="FAC090" w:themeFill="accent6" w:themeFillTint="98"/>
        <w:tcBorders>
          <w:left w:val="single" w:color="FFFFFF" w:sz="4" w:space="0" w:themeColor="light1"/>
          <w:right w:val="single" w:color="FFFFFF" w:sz="4" w:space="0" w:themeColor="light1"/>
        </w:tcBorders>
      </w:tcPr>
    </w:tblStylePr>
    <w:tblStylePr w:type="band2Horz">
      <w:tcPr>
        <w:shd w:val="clear" w:color="auto" w:fill="FAC090" w:themeFill="accent6" w:themeFillTint="98"/>
        <w:tcBorders>
          <w:top w:val="single" w:color="FFFFFF" w:sz="4" w:space="0" w:themeColor="light1"/>
          <w:bottom w:val="single" w:color="FFFFFF" w:sz="4" w:space="0" w:themeColor="light1"/>
        </w:tcBorders>
      </w:tcPr>
    </w:tblStylePr>
    <w:tblStylePr w:type="band2Vert">
      <w:tcPr>
        <w:tcBorders>
          <w:left w:val="single" w:color="FFFFFF" w:sz="4" w:space="0" w:themeColor="light1"/>
          <w:right w:val="single" w:color="FFFFFF" w:sz="4" w:space="0" w:themeColor="light1"/>
        </w:tcBorders>
      </w:tcPr>
    </w:tblStylePr>
    <w:tblStylePr w:type="firstCol">
      <w:rPr>
        <w:rFonts w:ascii="Arial" w:hAnsi="Arial"/>
        <w:b/>
        <w:color w:val="FFFFFF" w:themeColor="light1"/>
        <w:sz w:val="22"/>
      </w:rPr>
      <w:tcPr>
        <w:tcBorders>
          <w:left w:val="single" w:color="FAC090" w:sz="32" w:space="0" w:themeColor="accent6" w:themeTint="98"/>
          <w:right w:val="single" w:color="FFFFFF" w:sz="4" w:space="0" w:themeColor="light1"/>
        </w:tcBorders>
      </w:tcPr>
    </w:tblStylePr>
    <w:tblStylePr w:type="firstRow">
      <w:rPr>
        <w:rFonts w:ascii="Arial" w:hAnsi="Arial"/>
        <w:b/>
        <w:color w:val="FFFFFF" w:themeColor="light1"/>
        <w:sz w:val="22"/>
      </w:rPr>
      <w:tcPr>
        <w:shd w:val="clear" w:color="auto" w:fill="FAC090" w:themeFill="accent6" w:themeFillTint="98"/>
        <w:tcBorders>
          <w:top w:val="single" w:color="FAC090" w:sz="32" w:space="0" w:themeColor="accent6" w:themeTint="98"/>
          <w:bottom w:val="single" w:color="FFFFFF" w:sz="12" w:space="0" w:themeColor="light1"/>
        </w:tcBorders>
      </w:tcPr>
    </w:tblStylePr>
    <w:tblStylePr w:type="lastCol">
      <w:tcPr>
        <w:tcBorders>
          <w:left w:val="single" w:color="FFFFFF" w:sz="4" w:space="0" w:themeColor="light1"/>
          <w:right w:val="single" w:color="FAC090" w:sz="32" w:space="0" w:themeColor="accent6" w:themeTint="98"/>
        </w:tcBorders>
      </w:tcPr>
    </w:tblStylePr>
    <w:tblStylePr w:type="lastRow">
      <w:rPr>
        <w:rFonts w:ascii="Arial" w:hAnsi="Arial"/>
        <w:b/>
        <w:color w:val="FFFFFF" w:themeColor="light1"/>
        <w:sz w:val="22"/>
      </w:rPr>
    </w:tblStylePr>
  </w:style>
  <w:style w:type="table" w:styleId="514" w:customStyle="1">
    <w:name w:val="List Table 6 Colorful"/>
    <w:basedOn w:val="395"/>
    <w:uiPriority w:val="99"/>
    <w:pPr>
      <w:spacing w:lineRule="auto" w:line="240" w:after="0"/>
    </w:pPr>
    <w:tblPr>
      <w:tblStyleRowBandSize w:val="1"/>
      <w:tblStyleColBandSize w:val="1"/>
      <w:tblInd w:w="0" w:type="dxa"/>
      <w:tblBorders>
        <w:top w:val="single" w:color="7F7F7F" w:sz="4" w:space="0" w:themeColor="text1" w:themeTint="80"/>
        <w:bottom w:val="single" w:color="7F7F7F" w:sz="4" w:space="0" w:themeColor="text1" w:themeTint="80"/>
      </w:tblBorders>
      <w:tblCellMar>
        <w:left w:w="108" w:type="dxa"/>
        <w:top w:w="0" w:type="dxa"/>
        <w:right w:w="108" w:type="dxa"/>
        <w:bottom w:w="0" w:type="dxa"/>
      </w:tblCellMar>
    </w:tblPr>
    <w:tblStylePr w:type="band1Horz">
      <w:rPr>
        <w:rFonts w:ascii="Arial" w:hAnsi="Arial"/>
        <w:color w:val="000000" w:themeColor="text1"/>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sz="4" w:space="0" w:themeColor="text1" w:themeTint="80"/>
        </w:tcBorders>
      </w:tcPr>
    </w:tblStylePr>
    <w:tblStylePr w:type="lastCol">
      <w:rPr>
        <w:b/>
        <w:color w:val="000000" w:themeColor="text1"/>
      </w:rPr>
    </w:tblStylePr>
    <w:tblStylePr w:type="lastRow">
      <w:rPr>
        <w:b/>
        <w:color w:val="000000" w:themeColor="text1"/>
      </w:rPr>
      <w:tcPr>
        <w:tcBorders>
          <w:top w:val="single" w:color="7F7F7F" w:sz="4" w:space="0" w:themeColor="text1" w:themeTint="80"/>
        </w:tcBorders>
      </w:tcPr>
    </w:tblStylePr>
  </w:style>
  <w:style w:type="table" w:styleId="515" w:customStyle="1">
    <w:name w:val="List Table 6 Colorful - Accent 1"/>
    <w:basedOn w:val="395"/>
    <w:uiPriority w:val="99"/>
    <w:pPr>
      <w:spacing w:lineRule="auto" w:line="240" w:after="0"/>
    </w:pPr>
    <w:tblPr>
      <w:tblStyleRowBandSize w:val="1"/>
      <w:tblStyleColBandSize w:val="1"/>
      <w:tblInd w:w="0" w:type="dxa"/>
      <w:tblBorders>
        <w:top w:val="single" w:color="4F81BD" w:sz="4" w:space="0" w:themeColor="accent1"/>
        <w:bottom w:val="single" w:color="4F81BD" w:sz="4" w:space="0" w:themeColor="accent1"/>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auto" w:fill="D2DFEE" w:themeFill="accent1" w:themeFillTint="40"/>
      </w:tcPr>
    </w:tblStylePr>
    <w:tblStylePr w:type="band1Vert">
      <w:tcPr>
        <w:shd w:val="clear" w:color="auto"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sz="4" w:space="0" w:themeColor="accent1"/>
        </w:tcBorders>
      </w:tcPr>
    </w:tblStylePr>
    <w:tblStylePr w:type="lastCol">
      <w:rPr>
        <w:b/>
        <w:color w:val="2A4A71" w:themeColor="accent1" w:themeShade="95"/>
      </w:rPr>
    </w:tblStylePr>
    <w:tblStylePr w:type="lastRow">
      <w:rPr>
        <w:b/>
        <w:color w:val="2A4A71" w:themeColor="accent1" w:themeShade="95"/>
      </w:rPr>
      <w:tcPr>
        <w:tcBorders>
          <w:top w:val="single" w:color="4F81BD" w:sz="4" w:space="0" w:themeColor="accent1"/>
        </w:tcBorders>
      </w:tcPr>
    </w:tblStylePr>
  </w:style>
  <w:style w:type="table" w:styleId="516" w:customStyle="1">
    <w:name w:val="List Table 6 Colorful - Accent 2"/>
    <w:basedOn w:val="395"/>
    <w:uiPriority w:val="99"/>
    <w:pPr>
      <w:spacing w:lineRule="auto" w:line="240" w:after="0"/>
    </w:pPr>
    <w:tblPr>
      <w:tblStyleRowBandSize w:val="1"/>
      <w:tblStyleColBandSize w:val="1"/>
      <w:tblInd w:w="0" w:type="dxa"/>
      <w:tblBorders>
        <w:top w:val="single" w:color="D99695" w:sz="4" w:space="0" w:themeColor="accent2" w:themeTint="97"/>
        <w:bottom w:val="single" w:color="D99695" w:sz="4" w:space="0" w:themeColor="accent2" w:themeTint="97"/>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auto" w:fill="EFD2D2" w:themeFill="accent2" w:themeFillTint="40"/>
      </w:tcPr>
    </w:tblStylePr>
    <w:tblStylePr w:type="band1Vert">
      <w:tcPr>
        <w:shd w:val="clear" w:color="auto"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sz="4" w:space="0" w:themeColor="accent2" w:themeTint="97"/>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sz="4" w:space="0" w:themeColor="accent2" w:themeTint="97"/>
        </w:tcBorders>
      </w:tcPr>
    </w:tblStylePr>
  </w:style>
  <w:style w:type="table" w:styleId="517" w:customStyle="1">
    <w:name w:val="List Table 6 Colorful - Accent 3"/>
    <w:basedOn w:val="395"/>
    <w:uiPriority w:val="99"/>
    <w:pPr>
      <w:spacing w:lineRule="auto" w:line="240" w:after="0"/>
    </w:pPr>
    <w:tblPr>
      <w:tblStyleRowBandSize w:val="1"/>
      <w:tblStyleColBandSize w:val="1"/>
      <w:tblInd w:w="0" w:type="dxa"/>
      <w:tblBorders>
        <w:top w:val="single" w:color="C3D69B" w:sz="4" w:space="0" w:themeColor="accent3" w:themeTint="98"/>
        <w:bottom w:val="single" w:color="C3D69B" w:sz="4" w:space="0" w:themeColor="accent3" w:themeTint="98"/>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auto" w:fill="E5EED5" w:themeFill="accent3" w:themeFillTint="40"/>
      </w:tcPr>
    </w:tblStylePr>
    <w:tblStylePr w:type="band1Vert">
      <w:tcPr>
        <w:shd w:val="clear" w:color="auto"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sz="4" w:space="0" w:themeColor="accent3" w:themeTint="98"/>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sz="4" w:space="0" w:themeColor="accent3" w:themeTint="98"/>
        </w:tcBorders>
      </w:tcPr>
    </w:tblStylePr>
  </w:style>
  <w:style w:type="table" w:styleId="518" w:customStyle="1">
    <w:name w:val="List Table 6 Colorful - Accent 4"/>
    <w:basedOn w:val="395"/>
    <w:uiPriority w:val="99"/>
    <w:pPr>
      <w:spacing w:lineRule="auto" w:line="240" w:after="0"/>
    </w:pPr>
    <w:tblPr>
      <w:tblStyleRowBandSize w:val="1"/>
      <w:tblStyleColBandSize w:val="1"/>
      <w:tblInd w:w="0" w:type="dxa"/>
      <w:tblBorders>
        <w:top w:val="single" w:color="B2A1C6" w:sz="4" w:space="0" w:themeColor="accent4" w:themeTint="9A"/>
        <w:bottom w:val="single" w:color="B2A1C6" w:sz="4" w:space="0" w:themeColor="accent4" w:themeTint="9A"/>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auto" w:fill="DFD8E7" w:themeFill="accent4" w:themeFillTint="40"/>
      </w:tcPr>
    </w:tblStylePr>
    <w:tblStylePr w:type="band1Vert">
      <w:tcPr>
        <w:shd w:val="clear" w:color="auto"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sz="4" w:space="0" w:themeColor="accent4" w:themeTint="9A"/>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sz="4" w:space="0" w:themeColor="accent4" w:themeTint="9A"/>
        </w:tcBorders>
      </w:tcPr>
    </w:tblStylePr>
  </w:style>
  <w:style w:type="table" w:styleId="519" w:customStyle="1">
    <w:name w:val="List Table 6 Colorful - Accent 5"/>
    <w:basedOn w:val="395"/>
    <w:uiPriority w:val="99"/>
    <w:pPr>
      <w:spacing w:lineRule="auto" w:line="240" w:after="0"/>
    </w:pPr>
    <w:tblPr>
      <w:tblStyleRowBandSize w:val="1"/>
      <w:tblStyleColBandSize w:val="1"/>
      <w:tblInd w:w="0" w:type="dxa"/>
      <w:tblBorders>
        <w:top w:val="single" w:color="92CCDC" w:sz="4" w:space="0" w:themeColor="accent5" w:themeTint="9A"/>
        <w:bottom w:val="single" w:color="92CCDC" w:sz="4" w:space="0" w:themeColor="accent5" w:themeTint="9A"/>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auto" w:fill="D1EAF0" w:themeFill="accent5" w:themeFillTint="40"/>
      </w:tcPr>
    </w:tblStylePr>
    <w:tblStylePr w:type="band1Vert">
      <w:tcPr>
        <w:shd w:val="clear" w:color="auto"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sz="4" w:space="0" w:themeColor="accent5" w:themeTint="9A"/>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sz="4" w:space="0" w:themeColor="accent5" w:themeTint="9A"/>
        </w:tcBorders>
      </w:tcPr>
    </w:tblStylePr>
  </w:style>
  <w:style w:type="table" w:styleId="520" w:customStyle="1">
    <w:name w:val="List Table 6 Colorful - Accent 6"/>
    <w:basedOn w:val="395"/>
    <w:uiPriority w:val="99"/>
    <w:pPr>
      <w:spacing w:lineRule="auto" w:line="240" w:after="0"/>
    </w:pPr>
    <w:tblPr>
      <w:tblStyleRowBandSize w:val="1"/>
      <w:tblStyleColBandSize w:val="1"/>
      <w:tblInd w:w="0" w:type="dxa"/>
      <w:tblBorders>
        <w:top w:val="single" w:color="FAC090" w:sz="4" w:space="0" w:themeColor="accent6" w:themeTint="98"/>
        <w:bottom w:val="single" w:color="FAC090" w:sz="4" w:space="0" w:themeColor="accent6" w:themeTint="98"/>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auto" w:fill="FDE4D0" w:themeFill="accent6" w:themeFillTint="40"/>
      </w:tcPr>
    </w:tblStylePr>
    <w:tblStylePr w:type="band1Vert">
      <w:tcPr>
        <w:shd w:val="clear" w:color="auto"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sz="4" w:space="0" w:themeColor="accent6" w:themeTint="98"/>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sz="4" w:space="0" w:themeColor="accent6" w:themeTint="98"/>
        </w:tcBorders>
      </w:tcPr>
    </w:tblStylePr>
  </w:style>
  <w:style w:type="table" w:styleId="521" w:customStyle="1">
    <w:name w:val="List Table 7 Colorful"/>
    <w:basedOn w:val="395"/>
    <w:uiPriority w:val="99"/>
    <w:pPr>
      <w:spacing w:lineRule="auto" w:line="240" w:after="0"/>
    </w:pPr>
    <w:tblPr>
      <w:tblStyleRowBandSize w:val="1"/>
      <w:tblStyleColBandSize w:val="1"/>
      <w:tblInd w:w="0" w:type="dxa"/>
      <w:tblBorders>
        <w:right w:val="single" w:color="7F7F7F" w:sz="4" w:space="0" w:themeColor="text1" w:themeTint="80"/>
      </w:tblBorders>
      <w:tblCellMar>
        <w:left w:w="108" w:type="dxa"/>
        <w:top w:w="0" w:type="dxa"/>
        <w:right w:w="108" w:type="dxa"/>
        <w:bottom w:w="0" w:type="dxa"/>
      </w:tblCellMar>
    </w:tblPr>
    <w:tblStylePr w:type="band1Horz">
      <w:rPr>
        <w:rFonts w:ascii="Arial" w:hAnsi="Arial"/>
        <w:color w:val="7F7F7F" w:themeColor="text1" w:themeTint="80" w:themeShade="95"/>
        <w:sz w:val="22"/>
      </w:rPr>
      <w:tcPr>
        <w:shd w:val="clear" w:color="auto" w:fill="BFBFBF" w:themeFill="text1" w:themeFillTint="40"/>
      </w:tcPr>
    </w:tblStylePr>
    <w:tblStylePr w:type="band1Vert">
      <w:tcPr>
        <w:shd w:val="clear" w:color="auto"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auto" w:fill="FFFFFF"/>
        <w:tcBorders>
          <w:left w:val="none" w:sz="0" w:space="0" w:color="auto"/>
          <w:top w:val="none" w:sz="0" w:space="0" w:color="auto"/>
          <w:right w:val="single" w:color="7F7F7F" w:sz="4" w:space="0" w:themeColor="text1" w:themeTint="80"/>
          <w:bottom w:val="none" w:sz="0" w:space="0" w:color="auto"/>
        </w:tcBorders>
      </w:tcPr>
    </w:tblStylePr>
    <w:tblStylePr w:type="firstRow">
      <w:rPr>
        <w:rFonts w:ascii="Arial" w:hAnsi="Arial"/>
        <w:i/>
        <w:color w:val="7F7F7F" w:themeColor="text1" w:themeTint="80" w:themeShade="95"/>
        <w:sz w:val="22"/>
      </w:rPr>
      <w:tcPr>
        <w:shd w:val="clear" w:color="auto" w:fill="FFFFFF" w:themeFill="light1"/>
        <w:tcBorders>
          <w:left w:val="none" w:sz="0" w:space="0" w:color="auto"/>
          <w:top w:val="none" w:sz="0" w:space="0" w:color="auto"/>
          <w:right w:val="none" w:sz="0" w:space="0" w:color="auto"/>
          <w:bottom w:val="single" w:color="7F7F7F" w:sz="4" w:space="0" w:themeColor="text1" w:themeTint="80"/>
        </w:tcBorders>
      </w:tcPr>
    </w:tblStylePr>
    <w:tblStylePr w:type="lastCol">
      <w:rPr>
        <w:rFonts w:ascii="Arial" w:hAnsi="Arial"/>
        <w:i/>
        <w:color w:val="7F7F7F" w:themeColor="text1" w:themeTint="80" w:themeShade="95"/>
        <w:sz w:val="22"/>
      </w:rPr>
      <w:tcPr>
        <w:shd w:val="clear" w:color="auto" w:fill="FFFFFF"/>
        <w:tcBorders>
          <w:left w:val="single" w:color="7F7F7F" w:sz="4" w:space="0" w:themeColor="text1" w:themeTint="80"/>
          <w:top w:val="none" w:sz="0" w:space="0" w:color="auto"/>
          <w:right w:val="none" w:sz="0" w:space="0" w:color="auto"/>
          <w:bottom w:val="none" w:sz="0" w:space="0" w:color="auto"/>
        </w:tcBorders>
      </w:tcPr>
    </w:tblStylePr>
    <w:tblStylePr w:type="lastRow">
      <w:rPr>
        <w:rFonts w:ascii="Arial" w:hAnsi="Arial"/>
        <w:i/>
        <w:color w:val="7F7F7F" w:themeColor="text1" w:themeTint="80" w:themeShade="95"/>
        <w:sz w:val="22"/>
      </w:rPr>
      <w:tcPr>
        <w:shd w:val="clear" w:color="auto" w:fill="FFFFFF" w:themeFill="light1"/>
        <w:tcBorders>
          <w:left w:val="none" w:sz="0" w:space="0" w:color="auto"/>
          <w:top w:val="single" w:color="7F7F7F" w:sz="4" w:space="0" w:themeColor="text1" w:themeTint="80"/>
          <w:right w:val="none" w:sz="0" w:space="0" w:color="auto"/>
          <w:bottom w:val="none" w:sz="0" w:space="0" w:color="auto"/>
        </w:tcBorders>
      </w:tcPr>
    </w:tblStylePr>
  </w:style>
  <w:style w:type="table" w:styleId="522" w:customStyle="1">
    <w:name w:val="List Table 7 Colorful - Accent 1"/>
    <w:basedOn w:val="395"/>
    <w:uiPriority w:val="99"/>
    <w:pPr>
      <w:spacing w:lineRule="auto" w:line="240" w:after="0"/>
    </w:pPr>
    <w:tblPr>
      <w:tblStyleRowBandSize w:val="1"/>
      <w:tblStyleColBandSize w:val="1"/>
      <w:tblInd w:w="0" w:type="dxa"/>
      <w:tblBorders>
        <w:right w:val="single" w:color="4F81BD" w:sz="4" w:space="0" w:themeColor="accent1"/>
      </w:tblBorders>
      <w:tblCellMar>
        <w:left w:w="108" w:type="dxa"/>
        <w:top w:w="0" w:type="dxa"/>
        <w:right w:w="108" w:type="dxa"/>
        <w:bottom w:w="0" w:type="dxa"/>
      </w:tblCellMar>
    </w:tblPr>
    <w:tblStylePr w:type="band1Horz">
      <w:rPr>
        <w:rFonts w:ascii="Arial" w:hAnsi="Arial"/>
        <w:color w:val="2A4A71" w:themeColor="accent1" w:themeShade="95"/>
        <w:sz w:val="22"/>
      </w:rPr>
      <w:tcPr>
        <w:shd w:val="clear" w:color="auto" w:fill="D2DFEE" w:themeFill="accent1" w:themeFillTint="40"/>
      </w:tcPr>
    </w:tblStylePr>
    <w:tblStylePr w:type="band1Vert">
      <w:tcPr>
        <w:shd w:val="clear" w:color="auto"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auto" w:fill="FFFFFF"/>
        <w:tcBorders>
          <w:left w:val="none" w:sz="0" w:space="0" w:color="auto"/>
          <w:top w:val="none" w:sz="0" w:space="0" w:color="auto"/>
          <w:right w:val="single" w:color="4F81BD" w:sz="4" w:space="0" w:themeColor="accent1"/>
          <w:bottom w:val="none" w:sz="0" w:space="0" w:color="auto"/>
        </w:tcBorders>
      </w:tcPr>
    </w:tblStylePr>
    <w:tblStylePr w:type="firstRow">
      <w:rPr>
        <w:rFonts w:ascii="Arial" w:hAnsi="Arial"/>
        <w:i/>
        <w:color w:val="2A4A71" w:themeColor="accent1" w:themeShade="95"/>
        <w:sz w:val="22"/>
      </w:rPr>
      <w:tcPr>
        <w:shd w:val="clear" w:color="auto" w:fill="FFFFFF" w:themeFill="light1"/>
        <w:tcBorders>
          <w:left w:val="none" w:sz="0" w:space="0" w:color="auto"/>
          <w:top w:val="none" w:sz="0" w:space="0" w:color="auto"/>
          <w:right w:val="none" w:sz="0" w:space="0" w:color="auto"/>
          <w:bottom w:val="single" w:color="4F81BD" w:sz="4" w:space="0" w:themeColor="accent1"/>
        </w:tcBorders>
      </w:tcPr>
    </w:tblStylePr>
    <w:tblStylePr w:type="lastCol">
      <w:rPr>
        <w:rFonts w:ascii="Arial" w:hAnsi="Arial"/>
        <w:i/>
        <w:color w:val="2A4A71" w:themeColor="accent1" w:themeShade="95"/>
        <w:sz w:val="22"/>
      </w:rPr>
      <w:tcPr>
        <w:shd w:val="clear" w:color="auto" w:fill="FFFFFF"/>
        <w:tcBorders>
          <w:left w:val="single" w:color="4F81BD" w:sz="4" w:space="0" w:themeColor="accent1"/>
          <w:top w:val="none" w:sz="0" w:space="0" w:color="auto"/>
          <w:right w:val="none" w:sz="0" w:space="0" w:color="auto"/>
          <w:bottom w:val="none" w:sz="0" w:space="0" w:color="auto"/>
        </w:tcBorders>
      </w:tcPr>
    </w:tblStylePr>
    <w:tblStylePr w:type="lastRow">
      <w:rPr>
        <w:rFonts w:ascii="Arial" w:hAnsi="Arial"/>
        <w:i/>
        <w:color w:val="2A4A71" w:themeColor="accent1" w:themeShade="95"/>
        <w:sz w:val="22"/>
      </w:rPr>
      <w:tcPr>
        <w:shd w:val="clear" w:color="auto" w:fill="FFFFFF" w:themeFill="light1"/>
        <w:tcBorders>
          <w:left w:val="none" w:sz="0" w:space="0" w:color="auto"/>
          <w:top w:val="single" w:color="4F81BD" w:sz="4" w:space="0" w:themeColor="accent1"/>
          <w:right w:val="none" w:sz="0" w:space="0" w:color="auto"/>
          <w:bottom w:val="none" w:sz="0" w:space="0" w:color="auto"/>
        </w:tcBorders>
      </w:tcPr>
    </w:tblStylePr>
  </w:style>
  <w:style w:type="table" w:styleId="523" w:customStyle="1">
    <w:name w:val="List Table 7 Colorful - Accent 2"/>
    <w:basedOn w:val="395"/>
    <w:uiPriority w:val="99"/>
    <w:pPr>
      <w:spacing w:lineRule="auto" w:line="240" w:after="0"/>
    </w:pPr>
    <w:tblPr>
      <w:tblStyleRowBandSize w:val="1"/>
      <w:tblStyleColBandSize w:val="1"/>
      <w:tblInd w:w="0" w:type="dxa"/>
      <w:tblBorders>
        <w:right w:val="single" w:color="D99695" w:sz="4" w:space="0" w:themeColor="accent2" w:themeTint="97"/>
      </w:tblBorders>
      <w:tblCellMar>
        <w:left w:w="108" w:type="dxa"/>
        <w:top w:w="0" w:type="dxa"/>
        <w:right w:w="108" w:type="dxa"/>
        <w:bottom w:w="0" w:type="dxa"/>
      </w:tblCellMar>
    </w:tblPr>
    <w:tblStylePr w:type="band1Horz">
      <w:rPr>
        <w:rFonts w:ascii="Arial" w:hAnsi="Arial"/>
        <w:color w:val="D99695" w:themeColor="accent2" w:themeTint="97" w:themeShade="95"/>
        <w:sz w:val="22"/>
      </w:rPr>
      <w:tcPr>
        <w:shd w:val="clear" w:color="auto" w:fill="EFD2D2" w:themeFill="accent2" w:themeFillTint="40"/>
      </w:tcPr>
    </w:tblStylePr>
    <w:tblStylePr w:type="band1Vert">
      <w:tcPr>
        <w:shd w:val="clear" w:color="auto"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auto" w:fill="FFFFFF"/>
        <w:tcBorders>
          <w:left w:val="none" w:sz="0" w:space="0" w:color="auto"/>
          <w:top w:val="none" w:sz="0" w:space="0" w:color="auto"/>
          <w:right w:val="single" w:color="D99695" w:sz="4" w:space="0" w:themeColor="accent2" w:themeTint="97"/>
          <w:bottom w:val="none" w:sz="0" w:space="0" w:color="auto"/>
        </w:tcBorders>
      </w:tcPr>
    </w:tblStylePr>
    <w:tblStylePr w:type="firstRow">
      <w:rPr>
        <w:rFonts w:ascii="Arial" w:hAnsi="Arial"/>
        <w:i/>
        <w:color w:val="D99695" w:themeColor="accent2" w:themeTint="97" w:themeShade="95"/>
        <w:sz w:val="22"/>
      </w:rPr>
      <w:tcPr>
        <w:shd w:val="clear" w:color="auto" w:fill="FFFFFF" w:themeFill="light1"/>
        <w:tcBorders>
          <w:left w:val="none" w:sz="0" w:space="0" w:color="auto"/>
          <w:top w:val="none" w:sz="0" w:space="0" w:color="auto"/>
          <w:right w:val="none" w:sz="0" w:space="0" w:color="auto"/>
          <w:bottom w:val="single" w:color="D99695" w:sz="4" w:space="0" w:themeColor="accent2" w:themeTint="97"/>
        </w:tcBorders>
      </w:tcPr>
    </w:tblStylePr>
    <w:tblStylePr w:type="lastCol">
      <w:rPr>
        <w:rFonts w:ascii="Arial" w:hAnsi="Arial"/>
        <w:i/>
        <w:color w:val="D99695" w:themeColor="accent2" w:themeTint="97" w:themeShade="95"/>
        <w:sz w:val="22"/>
      </w:rPr>
      <w:tcPr>
        <w:shd w:val="clear" w:color="auto" w:fill="FFFFFF"/>
        <w:tcBorders>
          <w:left w:val="single" w:color="D99695" w:sz="4" w:space="0" w:themeColor="accent2" w:themeTint="97"/>
          <w:top w:val="none" w:sz="0" w:space="0" w:color="auto"/>
          <w:right w:val="none" w:sz="0" w:space="0" w:color="auto"/>
          <w:bottom w:val="none" w:sz="0" w:space="0" w:color="auto"/>
        </w:tcBorders>
      </w:tcPr>
    </w:tblStylePr>
    <w:tblStylePr w:type="lastRow">
      <w:rPr>
        <w:rFonts w:ascii="Arial" w:hAnsi="Arial"/>
        <w:i/>
        <w:color w:val="D99695" w:themeColor="accent2" w:themeTint="97" w:themeShade="95"/>
        <w:sz w:val="22"/>
      </w:rPr>
      <w:tcPr>
        <w:shd w:val="clear" w:color="auto" w:fill="FFFFFF" w:themeFill="light1"/>
        <w:tcBorders>
          <w:left w:val="none" w:sz="0" w:space="0" w:color="auto"/>
          <w:top w:val="single" w:color="D99695" w:sz="4" w:space="0" w:themeColor="accent2" w:themeTint="97"/>
          <w:right w:val="none" w:sz="0" w:space="0" w:color="auto"/>
          <w:bottom w:val="none" w:sz="0" w:space="0" w:color="auto"/>
        </w:tcBorders>
      </w:tcPr>
    </w:tblStylePr>
  </w:style>
  <w:style w:type="table" w:styleId="524" w:customStyle="1">
    <w:name w:val="List Table 7 Colorful - Accent 3"/>
    <w:basedOn w:val="395"/>
    <w:uiPriority w:val="99"/>
    <w:pPr>
      <w:spacing w:lineRule="auto" w:line="240" w:after="0"/>
    </w:pPr>
    <w:tblPr>
      <w:tblStyleRowBandSize w:val="1"/>
      <w:tblStyleColBandSize w:val="1"/>
      <w:tblInd w:w="0" w:type="dxa"/>
      <w:tblBorders>
        <w:right w:val="single" w:color="C3D69B" w:sz="4" w:space="0" w:themeColor="accent3" w:themeTint="98"/>
      </w:tblBorders>
      <w:tblCellMar>
        <w:left w:w="108" w:type="dxa"/>
        <w:top w:w="0" w:type="dxa"/>
        <w:right w:w="108" w:type="dxa"/>
        <w:bottom w:w="0" w:type="dxa"/>
      </w:tblCellMar>
    </w:tblPr>
    <w:tblStylePr w:type="band1Horz">
      <w:rPr>
        <w:rFonts w:ascii="Arial" w:hAnsi="Arial"/>
        <w:color w:val="C3D69B" w:themeColor="accent3" w:themeTint="98" w:themeShade="95"/>
        <w:sz w:val="22"/>
      </w:rPr>
      <w:tcPr>
        <w:shd w:val="clear" w:color="auto" w:fill="E5EED5" w:themeFill="accent3" w:themeFillTint="40"/>
      </w:tcPr>
    </w:tblStylePr>
    <w:tblStylePr w:type="band1Vert">
      <w:tcPr>
        <w:shd w:val="clear" w:color="auto"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auto" w:fill="FFFFFF"/>
        <w:tcBorders>
          <w:left w:val="none" w:sz="0" w:space="0" w:color="auto"/>
          <w:top w:val="none" w:sz="0" w:space="0" w:color="auto"/>
          <w:right w:val="single" w:color="C3D69B" w:sz="4" w:space="0" w:themeColor="accent3" w:themeTint="98"/>
          <w:bottom w:val="none" w:sz="0" w:space="0" w:color="auto"/>
        </w:tcBorders>
      </w:tcPr>
    </w:tblStylePr>
    <w:tblStylePr w:type="firstRow">
      <w:rPr>
        <w:rFonts w:ascii="Arial" w:hAnsi="Arial"/>
        <w:i/>
        <w:color w:val="C3D69B" w:themeColor="accent3" w:themeTint="98" w:themeShade="95"/>
        <w:sz w:val="22"/>
      </w:rPr>
      <w:tcPr>
        <w:shd w:val="clear" w:color="auto" w:fill="FFFFFF" w:themeFill="light1"/>
        <w:tcBorders>
          <w:left w:val="none" w:sz="0" w:space="0" w:color="auto"/>
          <w:top w:val="none" w:sz="0" w:space="0" w:color="auto"/>
          <w:right w:val="none" w:sz="0" w:space="0" w:color="auto"/>
          <w:bottom w:val="single" w:color="C3D69B" w:sz="4" w:space="0" w:themeColor="accent3" w:themeTint="98"/>
        </w:tcBorders>
      </w:tcPr>
    </w:tblStylePr>
    <w:tblStylePr w:type="lastCol">
      <w:rPr>
        <w:rFonts w:ascii="Arial" w:hAnsi="Arial"/>
        <w:i/>
        <w:color w:val="C3D69B" w:themeColor="accent3" w:themeTint="98" w:themeShade="95"/>
        <w:sz w:val="22"/>
      </w:rPr>
      <w:tcPr>
        <w:shd w:val="clear" w:color="auto" w:fill="FFFFFF"/>
        <w:tcBorders>
          <w:left w:val="single" w:color="C3D69B" w:sz="4" w:space="0" w:themeColor="accent3" w:themeTint="98"/>
          <w:top w:val="none" w:sz="0" w:space="0" w:color="auto"/>
          <w:right w:val="none" w:sz="0" w:space="0" w:color="auto"/>
          <w:bottom w:val="none" w:sz="0" w:space="0" w:color="auto"/>
        </w:tcBorders>
      </w:tcPr>
    </w:tblStylePr>
    <w:tblStylePr w:type="lastRow">
      <w:rPr>
        <w:rFonts w:ascii="Arial" w:hAnsi="Arial"/>
        <w:i/>
        <w:color w:val="C3D69B" w:themeColor="accent3" w:themeTint="98" w:themeShade="95"/>
        <w:sz w:val="22"/>
      </w:rPr>
      <w:tcPr>
        <w:shd w:val="clear" w:color="auto" w:fill="FFFFFF" w:themeFill="light1"/>
        <w:tcBorders>
          <w:left w:val="none" w:sz="0" w:space="0" w:color="auto"/>
          <w:top w:val="single" w:color="C3D69B" w:sz="4" w:space="0" w:themeColor="accent3" w:themeTint="98"/>
          <w:right w:val="none" w:sz="0" w:space="0" w:color="auto"/>
          <w:bottom w:val="none" w:sz="0" w:space="0" w:color="auto"/>
        </w:tcBorders>
      </w:tcPr>
    </w:tblStylePr>
  </w:style>
  <w:style w:type="table" w:styleId="525" w:customStyle="1">
    <w:name w:val="List Table 7 Colorful - Accent 4"/>
    <w:basedOn w:val="395"/>
    <w:uiPriority w:val="99"/>
    <w:pPr>
      <w:spacing w:lineRule="auto" w:line="240" w:after="0"/>
    </w:pPr>
    <w:tblPr>
      <w:tblStyleRowBandSize w:val="1"/>
      <w:tblStyleColBandSize w:val="1"/>
      <w:tblInd w:w="0" w:type="dxa"/>
      <w:tblBorders>
        <w:right w:val="single" w:color="B2A1C6" w:sz="4" w:space="0" w:themeColor="accent4" w:themeTint="9A"/>
      </w:tblBorders>
      <w:tblCellMar>
        <w:left w:w="108" w:type="dxa"/>
        <w:top w:w="0" w:type="dxa"/>
        <w:right w:w="108" w:type="dxa"/>
        <w:bottom w:w="0" w:type="dxa"/>
      </w:tblCellMar>
    </w:tblPr>
    <w:tblStylePr w:type="band1Horz">
      <w:rPr>
        <w:rFonts w:ascii="Arial" w:hAnsi="Arial"/>
        <w:color w:val="B2A1C6" w:themeColor="accent4" w:themeTint="9A" w:themeShade="95"/>
        <w:sz w:val="22"/>
      </w:rPr>
      <w:tcPr>
        <w:shd w:val="clear" w:color="auto" w:fill="DFD8E7" w:themeFill="accent4" w:themeFillTint="40"/>
      </w:tcPr>
    </w:tblStylePr>
    <w:tblStylePr w:type="band1Vert">
      <w:tcPr>
        <w:shd w:val="clear" w:color="auto"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auto" w:fill="FFFFFF"/>
        <w:tcBorders>
          <w:left w:val="none" w:sz="0" w:space="0" w:color="auto"/>
          <w:top w:val="none" w:sz="0" w:space="0" w:color="auto"/>
          <w:right w:val="single" w:color="B2A1C6" w:sz="4" w:space="0" w:themeColor="accent4" w:themeTint="9A"/>
          <w:bottom w:val="none" w:sz="0" w:space="0" w:color="auto"/>
        </w:tcBorders>
      </w:tcPr>
    </w:tblStylePr>
    <w:tblStylePr w:type="firstRow">
      <w:rPr>
        <w:rFonts w:ascii="Arial" w:hAnsi="Arial"/>
        <w:i/>
        <w:color w:val="B2A1C6" w:themeColor="accent4" w:themeTint="9A" w:themeShade="95"/>
        <w:sz w:val="22"/>
      </w:rPr>
      <w:tcPr>
        <w:shd w:val="clear" w:color="auto" w:fill="FFFFFF" w:themeFill="light1"/>
        <w:tcBorders>
          <w:left w:val="none" w:sz="0" w:space="0" w:color="auto"/>
          <w:top w:val="none" w:sz="0" w:space="0" w:color="auto"/>
          <w:right w:val="none" w:sz="0" w:space="0" w:color="auto"/>
          <w:bottom w:val="single" w:color="B2A1C6" w:sz="4" w:space="0" w:themeColor="accent4" w:themeTint="9A"/>
        </w:tcBorders>
      </w:tcPr>
    </w:tblStylePr>
    <w:tblStylePr w:type="lastCol">
      <w:rPr>
        <w:rFonts w:ascii="Arial" w:hAnsi="Arial"/>
        <w:i/>
        <w:color w:val="B2A1C6" w:themeColor="accent4" w:themeTint="9A" w:themeShade="95"/>
        <w:sz w:val="22"/>
      </w:rPr>
      <w:tcPr>
        <w:shd w:val="clear" w:color="auto" w:fill="FFFFFF"/>
        <w:tcBorders>
          <w:left w:val="single" w:color="B2A1C6" w:sz="4" w:space="0" w:themeColor="accent4" w:themeTint="9A"/>
          <w:top w:val="none" w:sz="0" w:space="0" w:color="auto"/>
          <w:right w:val="none" w:sz="0" w:space="0" w:color="auto"/>
          <w:bottom w:val="none" w:sz="0" w:space="0" w:color="auto"/>
        </w:tcBorders>
      </w:tcPr>
    </w:tblStylePr>
    <w:tblStylePr w:type="lastRow">
      <w:rPr>
        <w:rFonts w:ascii="Arial" w:hAnsi="Arial"/>
        <w:i/>
        <w:color w:val="B2A1C6" w:themeColor="accent4" w:themeTint="9A" w:themeShade="95"/>
        <w:sz w:val="22"/>
      </w:rPr>
      <w:tcPr>
        <w:shd w:val="clear" w:color="auto" w:fill="FFFFFF" w:themeFill="light1"/>
        <w:tcBorders>
          <w:left w:val="none" w:sz="0" w:space="0" w:color="auto"/>
          <w:top w:val="single" w:color="B2A1C6" w:sz="4" w:space="0" w:themeColor="accent4" w:themeTint="9A"/>
          <w:right w:val="none" w:sz="0" w:space="0" w:color="auto"/>
          <w:bottom w:val="none" w:sz="0" w:space="0" w:color="auto"/>
        </w:tcBorders>
      </w:tcPr>
    </w:tblStylePr>
  </w:style>
  <w:style w:type="table" w:styleId="526" w:customStyle="1">
    <w:name w:val="List Table 7 Colorful - Accent 5"/>
    <w:basedOn w:val="395"/>
    <w:uiPriority w:val="99"/>
    <w:pPr>
      <w:spacing w:lineRule="auto" w:line="240" w:after="0"/>
    </w:pPr>
    <w:tblPr>
      <w:tblStyleRowBandSize w:val="1"/>
      <w:tblStyleColBandSize w:val="1"/>
      <w:tblInd w:w="0" w:type="dxa"/>
      <w:tblBorders>
        <w:right w:val="single" w:color="92CCDC" w:sz="4" w:space="0" w:themeColor="accent5" w:themeTint="9A"/>
      </w:tblBorders>
      <w:tblCellMar>
        <w:left w:w="108" w:type="dxa"/>
        <w:top w:w="0" w:type="dxa"/>
        <w:right w:w="108" w:type="dxa"/>
        <w:bottom w:w="0" w:type="dxa"/>
      </w:tblCellMar>
    </w:tblPr>
    <w:tblStylePr w:type="band1Horz">
      <w:rPr>
        <w:rFonts w:ascii="Arial" w:hAnsi="Arial"/>
        <w:color w:val="92CCDC" w:themeColor="accent5" w:themeTint="9A" w:themeShade="95"/>
        <w:sz w:val="22"/>
      </w:rPr>
      <w:tcPr>
        <w:shd w:val="clear" w:color="auto" w:fill="D1EAF0" w:themeFill="accent5" w:themeFillTint="40"/>
      </w:tcPr>
    </w:tblStylePr>
    <w:tblStylePr w:type="band1Vert">
      <w:tcPr>
        <w:shd w:val="clear" w:color="auto"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auto" w:fill="FFFFFF"/>
        <w:tcBorders>
          <w:left w:val="none" w:sz="0" w:space="0" w:color="auto"/>
          <w:top w:val="none" w:sz="0" w:space="0" w:color="auto"/>
          <w:right w:val="single" w:color="92CCDC" w:sz="4" w:space="0" w:themeColor="accent5" w:themeTint="9A"/>
          <w:bottom w:val="none" w:sz="0" w:space="0" w:color="auto"/>
        </w:tcBorders>
      </w:tcPr>
    </w:tblStylePr>
    <w:tblStylePr w:type="firstRow">
      <w:rPr>
        <w:rFonts w:ascii="Arial" w:hAnsi="Arial"/>
        <w:i/>
        <w:color w:val="92CCDC" w:themeColor="accent5" w:themeTint="9A" w:themeShade="95"/>
        <w:sz w:val="22"/>
      </w:rPr>
      <w:tcPr>
        <w:shd w:val="clear" w:color="auto" w:fill="FFFFFF" w:themeFill="light1"/>
        <w:tcBorders>
          <w:left w:val="none" w:sz="0" w:space="0" w:color="auto"/>
          <w:top w:val="none" w:sz="0" w:space="0" w:color="auto"/>
          <w:right w:val="none" w:sz="0" w:space="0" w:color="auto"/>
          <w:bottom w:val="single" w:color="92CCDC" w:sz="4" w:space="0" w:themeColor="accent5" w:themeTint="9A"/>
        </w:tcBorders>
      </w:tcPr>
    </w:tblStylePr>
    <w:tblStylePr w:type="lastCol">
      <w:rPr>
        <w:rFonts w:ascii="Arial" w:hAnsi="Arial"/>
        <w:i/>
        <w:color w:val="92CCDC" w:themeColor="accent5" w:themeTint="9A" w:themeShade="95"/>
        <w:sz w:val="22"/>
      </w:rPr>
      <w:tcPr>
        <w:shd w:val="clear" w:color="auto" w:fill="FFFFFF"/>
        <w:tcBorders>
          <w:left w:val="single" w:color="92CCDC" w:sz="4" w:space="0" w:themeColor="accent5" w:themeTint="9A"/>
          <w:top w:val="none" w:sz="0" w:space="0" w:color="auto"/>
          <w:right w:val="none" w:sz="0" w:space="0" w:color="auto"/>
          <w:bottom w:val="none" w:sz="0" w:space="0" w:color="auto"/>
        </w:tcBorders>
      </w:tcPr>
    </w:tblStylePr>
    <w:tblStylePr w:type="lastRow">
      <w:rPr>
        <w:rFonts w:ascii="Arial" w:hAnsi="Arial"/>
        <w:i/>
        <w:color w:val="92CCDC" w:themeColor="accent5" w:themeTint="9A" w:themeShade="95"/>
        <w:sz w:val="22"/>
      </w:rPr>
      <w:tcPr>
        <w:shd w:val="clear" w:color="auto" w:fill="FFFFFF" w:themeFill="light1"/>
        <w:tcBorders>
          <w:left w:val="none" w:sz="0" w:space="0" w:color="auto"/>
          <w:top w:val="single" w:color="92CCDC" w:sz="4" w:space="0" w:themeColor="accent5" w:themeTint="9A"/>
          <w:right w:val="none" w:sz="0" w:space="0" w:color="auto"/>
          <w:bottom w:val="none" w:sz="0" w:space="0" w:color="auto"/>
        </w:tcBorders>
      </w:tcPr>
    </w:tblStylePr>
  </w:style>
  <w:style w:type="table" w:styleId="527" w:customStyle="1">
    <w:name w:val="List Table 7 Colorful - Accent 6"/>
    <w:basedOn w:val="395"/>
    <w:uiPriority w:val="99"/>
    <w:pPr>
      <w:spacing w:lineRule="auto" w:line="240" w:after="0"/>
    </w:pPr>
    <w:tblPr>
      <w:tblStyleRowBandSize w:val="1"/>
      <w:tblStyleColBandSize w:val="1"/>
      <w:tblInd w:w="0" w:type="dxa"/>
      <w:tblBorders>
        <w:right w:val="single" w:color="FAC090" w:sz="4" w:space="0" w:themeColor="accent6" w:themeTint="98"/>
      </w:tblBorders>
      <w:tblCellMar>
        <w:left w:w="108" w:type="dxa"/>
        <w:top w:w="0" w:type="dxa"/>
        <w:right w:w="108" w:type="dxa"/>
        <w:bottom w:w="0" w:type="dxa"/>
      </w:tblCellMar>
    </w:tblPr>
    <w:tblStylePr w:type="band1Horz">
      <w:rPr>
        <w:rFonts w:ascii="Arial" w:hAnsi="Arial"/>
        <w:color w:val="FAC090" w:themeColor="accent6" w:themeTint="98" w:themeShade="95"/>
        <w:sz w:val="22"/>
      </w:rPr>
      <w:tcPr>
        <w:shd w:val="clear" w:color="auto" w:fill="FDE4D0" w:themeFill="accent6" w:themeFillTint="40"/>
      </w:tcPr>
    </w:tblStylePr>
    <w:tblStylePr w:type="band1Vert">
      <w:tcPr>
        <w:shd w:val="clear" w:color="auto"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auto" w:fill="FFFFFF"/>
        <w:tcBorders>
          <w:left w:val="none" w:sz="0" w:space="0" w:color="auto"/>
          <w:top w:val="none" w:sz="0" w:space="0" w:color="auto"/>
          <w:right w:val="single" w:color="FAC090" w:sz="4" w:space="0" w:themeColor="accent6" w:themeTint="98"/>
          <w:bottom w:val="none" w:sz="0" w:space="0" w:color="auto"/>
        </w:tcBorders>
      </w:tcPr>
    </w:tblStylePr>
    <w:tblStylePr w:type="firstRow">
      <w:rPr>
        <w:rFonts w:ascii="Arial" w:hAnsi="Arial"/>
        <w:i/>
        <w:color w:val="FAC090" w:themeColor="accent6" w:themeTint="98" w:themeShade="95"/>
        <w:sz w:val="22"/>
      </w:rPr>
      <w:tcPr>
        <w:shd w:val="clear" w:color="auto" w:fill="FFFFFF" w:themeFill="light1"/>
        <w:tcBorders>
          <w:left w:val="none" w:sz="0" w:space="0" w:color="auto"/>
          <w:top w:val="none" w:sz="0" w:space="0" w:color="auto"/>
          <w:right w:val="none" w:sz="0" w:space="0" w:color="auto"/>
          <w:bottom w:val="single" w:color="FAC090" w:sz="4" w:space="0" w:themeColor="accent6" w:themeTint="98"/>
        </w:tcBorders>
      </w:tcPr>
    </w:tblStylePr>
    <w:tblStylePr w:type="lastCol">
      <w:rPr>
        <w:rFonts w:ascii="Arial" w:hAnsi="Arial"/>
        <w:i/>
        <w:color w:val="FAC090" w:themeColor="accent6" w:themeTint="98" w:themeShade="95"/>
        <w:sz w:val="22"/>
      </w:rPr>
      <w:tcPr>
        <w:shd w:val="clear" w:color="auto" w:fill="FFFFFF"/>
        <w:tcBorders>
          <w:left w:val="single" w:color="FAC090" w:sz="4" w:space="0" w:themeColor="accent6" w:themeTint="98"/>
          <w:top w:val="none" w:sz="0" w:space="0" w:color="auto"/>
          <w:right w:val="none" w:sz="0" w:space="0" w:color="auto"/>
          <w:bottom w:val="none" w:sz="0" w:space="0" w:color="auto"/>
        </w:tcBorders>
      </w:tcPr>
    </w:tblStylePr>
    <w:tblStylePr w:type="lastRow">
      <w:rPr>
        <w:rFonts w:ascii="Arial" w:hAnsi="Arial"/>
        <w:i/>
        <w:color w:val="FAC090" w:themeColor="accent6" w:themeTint="98" w:themeShade="95"/>
        <w:sz w:val="22"/>
      </w:rPr>
      <w:tcPr>
        <w:shd w:val="clear" w:color="auto" w:fill="FFFFFF" w:themeFill="light1"/>
        <w:tcBorders>
          <w:left w:val="none" w:sz="0" w:space="0" w:color="auto"/>
          <w:top w:val="single" w:color="FAC090" w:sz="4" w:space="0" w:themeColor="accent6" w:themeTint="98"/>
          <w:right w:val="none" w:sz="0" w:space="0" w:color="auto"/>
          <w:bottom w:val="none" w:sz="0" w:space="0" w:color="auto"/>
        </w:tcBorders>
      </w:tcPr>
    </w:tblStylePr>
  </w:style>
  <w:style w:type="table" w:styleId="528" w:customStyle="1">
    <w:name w:val="Lined - Accent"/>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0"/>
      </w:tcPr>
    </w:tblStylePr>
    <w:tblStylePr w:type="band2Vert">
      <w:rPr>
        <w:rFonts w:ascii="Arial" w:hAnsi="Arial"/>
        <w:color w:val="404040"/>
        <w:sz w:val="22"/>
      </w:rPr>
      <w:tcPr>
        <w:shd w:val="clear" w:color="auto" w:fill="F2F2F2" w:themeFill="text1" w:themeFillTint="00"/>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table" w:styleId="529" w:customStyle="1">
    <w:name w:val="Lined - Accent 1"/>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7D7EA" w:themeFill="accent1" w:themeFillTint="50"/>
      </w:tcPr>
    </w:tblStylePr>
    <w:tblStylePr w:type="band2Vert">
      <w:rPr>
        <w:rFonts w:ascii="Arial" w:hAnsi="Arial"/>
        <w:color w:val="404040"/>
        <w:sz w:val="22"/>
      </w:rPr>
      <w:tcPr>
        <w:shd w:val="clear" w:color="auto" w:fill="C7D7EA" w:themeFill="accent1" w:themeFillTint="50"/>
      </w:tcPr>
    </w:tblStylePr>
    <w:tblStylePr w:type="firstCol">
      <w:rPr>
        <w:rFonts w:ascii="Arial" w:hAnsi="Arial"/>
        <w:color w:val="F2F2F2"/>
        <w:sz w:val="22"/>
      </w:rPr>
      <w:tcPr>
        <w:shd w:val="clear" w:color="auto" w:fill="5D8AC2" w:themeFill="accent1" w:themeFillTint="EA"/>
      </w:tcPr>
    </w:tblStylePr>
    <w:tblStylePr w:type="firstRow">
      <w:rPr>
        <w:rFonts w:ascii="Arial" w:hAnsi="Arial"/>
        <w:color w:val="F2F2F2"/>
        <w:sz w:val="22"/>
      </w:rPr>
      <w:tcPr>
        <w:shd w:val="clear" w:color="auto" w:fill="5D8AC2" w:themeFill="accent1" w:themeFillTint="EA"/>
      </w:tcPr>
    </w:tblStylePr>
    <w:tblStylePr w:type="lastCol">
      <w:rPr>
        <w:rFonts w:ascii="Arial" w:hAnsi="Arial"/>
        <w:color w:val="F2F2F2"/>
        <w:sz w:val="22"/>
      </w:rPr>
      <w:tcPr>
        <w:shd w:val="clear" w:color="auto" w:fill="5D8AC2" w:themeFill="accent1" w:themeFillTint="EA"/>
      </w:tcPr>
    </w:tblStylePr>
    <w:tblStylePr w:type="lastRow">
      <w:rPr>
        <w:rFonts w:ascii="Arial" w:hAnsi="Arial"/>
        <w:color w:val="F2F2F2"/>
        <w:sz w:val="22"/>
      </w:rPr>
      <w:tcPr>
        <w:shd w:val="clear" w:color="auto" w:fill="5D8AC2" w:themeFill="accent1" w:themeFillTint="EA"/>
      </w:tcPr>
    </w:tblStylePr>
  </w:style>
  <w:style w:type="table" w:styleId="530" w:customStyle="1">
    <w:name w:val="Lined - Accent 2"/>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CDC" w:themeFill="accent2" w:themeFillTint="32"/>
      </w:tcPr>
    </w:tblStylePr>
    <w:tblStylePr w:type="band2Vert">
      <w:rPr>
        <w:rFonts w:ascii="Arial" w:hAnsi="Arial"/>
        <w:color w:val="404040"/>
        <w:sz w:val="22"/>
      </w:rPr>
      <w:tcPr>
        <w:shd w:val="clear" w:color="auto" w:fill="F2DCDC" w:themeFill="accent2" w:themeFillTint="32"/>
      </w:tcPr>
    </w:tblStylePr>
    <w:tblStylePr w:type="firstCol">
      <w:rPr>
        <w:rFonts w:ascii="Arial" w:hAnsi="Arial"/>
        <w:color w:val="F2F2F2"/>
        <w:sz w:val="22"/>
      </w:rPr>
      <w:tcPr>
        <w:shd w:val="clear" w:color="auto" w:fill="D99695" w:themeFill="accent2" w:themeFillTint="97"/>
      </w:tcPr>
    </w:tblStylePr>
    <w:tblStylePr w:type="firstRow">
      <w:rPr>
        <w:rFonts w:ascii="Arial" w:hAnsi="Arial"/>
        <w:color w:val="F2F2F2"/>
        <w:sz w:val="22"/>
      </w:rPr>
      <w:tcPr>
        <w:shd w:val="clear" w:color="auto" w:fill="D99695" w:themeFill="accent2" w:themeFillTint="97"/>
      </w:tcPr>
    </w:tblStylePr>
    <w:tblStylePr w:type="lastCol">
      <w:rPr>
        <w:rFonts w:ascii="Arial" w:hAnsi="Arial"/>
        <w:color w:val="F2F2F2"/>
        <w:sz w:val="22"/>
      </w:rPr>
      <w:tcPr>
        <w:shd w:val="clear" w:color="auto" w:fill="D99695" w:themeFill="accent2" w:themeFillTint="97"/>
      </w:tcPr>
    </w:tblStylePr>
    <w:tblStylePr w:type="lastRow">
      <w:rPr>
        <w:rFonts w:ascii="Arial" w:hAnsi="Arial"/>
        <w:color w:val="F2F2F2"/>
        <w:sz w:val="22"/>
      </w:rPr>
      <w:tcPr>
        <w:shd w:val="clear" w:color="auto" w:fill="D99695" w:themeFill="accent2" w:themeFillTint="97"/>
      </w:tcPr>
    </w:tblStylePr>
  </w:style>
  <w:style w:type="table" w:styleId="531" w:customStyle="1">
    <w:name w:val="Lined - Accent 3"/>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C" w:themeFill="accent3" w:themeFillTint="34"/>
      </w:tcPr>
    </w:tblStylePr>
    <w:tblStylePr w:type="band2Vert">
      <w:rPr>
        <w:rFonts w:ascii="Arial" w:hAnsi="Arial"/>
        <w:color w:val="404040"/>
        <w:sz w:val="22"/>
      </w:rPr>
      <w:tcPr>
        <w:shd w:val="clear" w:color="auto" w:fill="EAF1DC" w:themeFill="accent3" w:themeFillTint="34"/>
      </w:tcPr>
    </w:tblStylePr>
    <w:tblStylePr w:type="firstCol">
      <w:rPr>
        <w:rFonts w:ascii="Arial" w:hAnsi="Arial"/>
        <w:color w:val="F2F2F2"/>
        <w:sz w:val="22"/>
      </w:rPr>
      <w:tcPr>
        <w:shd w:val="clear" w:color="auto" w:fill="9ABB59" w:themeFill="accent3" w:themeFillTint="FE"/>
      </w:tcPr>
    </w:tblStylePr>
    <w:tblStylePr w:type="firstRow">
      <w:rPr>
        <w:rFonts w:ascii="Arial" w:hAnsi="Arial"/>
        <w:color w:val="F2F2F2"/>
        <w:sz w:val="22"/>
      </w:rPr>
      <w:tcPr>
        <w:shd w:val="clear" w:color="auto" w:fill="9ABB59" w:themeFill="accent3" w:themeFillTint="FE"/>
      </w:tcPr>
    </w:tblStylePr>
    <w:tblStylePr w:type="lastCol">
      <w:rPr>
        <w:rFonts w:ascii="Arial" w:hAnsi="Arial"/>
        <w:color w:val="F2F2F2"/>
        <w:sz w:val="22"/>
      </w:rPr>
      <w:tcPr>
        <w:shd w:val="clear" w:color="auto" w:fill="9ABB59" w:themeFill="accent3" w:themeFillTint="FE"/>
      </w:tcPr>
    </w:tblStylePr>
    <w:tblStylePr w:type="lastRow">
      <w:rPr>
        <w:rFonts w:ascii="Arial" w:hAnsi="Arial"/>
        <w:color w:val="F2F2F2"/>
        <w:sz w:val="22"/>
      </w:rPr>
      <w:tcPr>
        <w:shd w:val="clear" w:color="auto" w:fill="9ABB59" w:themeFill="accent3" w:themeFillTint="FE"/>
      </w:tcPr>
    </w:tblStylePr>
  </w:style>
  <w:style w:type="table" w:styleId="532" w:customStyle="1">
    <w:name w:val="Lined - Accent 4"/>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hemeFill="accent4" w:themeFillTint="34"/>
      </w:tcPr>
    </w:tblStylePr>
    <w:tblStylePr w:type="band2Vert">
      <w:rPr>
        <w:rFonts w:ascii="Arial" w:hAnsi="Arial"/>
        <w:color w:val="404040"/>
        <w:sz w:val="22"/>
      </w:rPr>
      <w:tcPr>
        <w:shd w:val="clear" w:color="auto" w:fill="E5DFEC" w:themeFill="accent4" w:themeFillTint="34"/>
      </w:tcPr>
    </w:tblStylePr>
    <w:tblStylePr w:type="firstCol">
      <w:rPr>
        <w:rFonts w:ascii="Arial" w:hAnsi="Arial"/>
        <w:color w:val="F2F2F2"/>
        <w:sz w:val="22"/>
      </w:rPr>
      <w:tcPr>
        <w:shd w:val="clear" w:color="auto" w:fill="B2A1C6" w:themeFill="accent4" w:themeFillTint="9A"/>
      </w:tcPr>
    </w:tblStylePr>
    <w:tblStylePr w:type="firstRow">
      <w:rPr>
        <w:rFonts w:ascii="Arial" w:hAnsi="Arial"/>
        <w:color w:val="F2F2F2"/>
        <w:sz w:val="22"/>
      </w:rPr>
      <w:tcPr>
        <w:shd w:val="clear" w:color="auto" w:fill="B2A1C6" w:themeFill="accent4" w:themeFillTint="9A"/>
      </w:tcPr>
    </w:tblStylePr>
    <w:tblStylePr w:type="lastCol">
      <w:rPr>
        <w:rFonts w:ascii="Arial" w:hAnsi="Arial"/>
        <w:color w:val="F2F2F2"/>
        <w:sz w:val="22"/>
      </w:rPr>
      <w:tcPr>
        <w:shd w:val="clear" w:color="auto" w:fill="B2A1C6" w:themeFill="accent4" w:themeFillTint="9A"/>
      </w:tcPr>
    </w:tblStylePr>
    <w:tblStylePr w:type="lastRow">
      <w:rPr>
        <w:rFonts w:ascii="Arial" w:hAnsi="Arial"/>
        <w:color w:val="F2F2F2"/>
        <w:sz w:val="22"/>
      </w:rPr>
      <w:tcPr>
        <w:shd w:val="clear" w:color="auto" w:fill="B2A1C6" w:themeFill="accent4" w:themeFillTint="9A"/>
      </w:tcPr>
    </w:tblStylePr>
  </w:style>
  <w:style w:type="table" w:styleId="533" w:customStyle="1">
    <w:name w:val="Lined - Accent 5"/>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hemeFill="accent5" w:themeFillTint="34"/>
      </w:tcPr>
    </w:tblStylePr>
    <w:tblStylePr w:type="band2Vert">
      <w:rPr>
        <w:rFonts w:ascii="Arial" w:hAnsi="Arial"/>
        <w:color w:val="404040"/>
        <w:sz w:val="22"/>
      </w:rPr>
      <w:tcPr>
        <w:shd w:val="clear" w:color="auto" w:fill="DAEEF3" w:themeFill="accent5" w:themeFillTint="34"/>
      </w:tcPr>
    </w:tblStylePr>
    <w:tblStylePr w:type="firstCol">
      <w:rPr>
        <w:rFonts w:ascii="Arial" w:hAnsi="Arial"/>
        <w:color w:val="F2F2F2"/>
        <w:sz w:val="22"/>
      </w:rPr>
      <w:tcPr>
        <w:shd w:val="clear" w:color="auto" w:fill="4BACC6" w:themeFill="accent5"/>
      </w:tcPr>
    </w:tblStylePr>
    <w:tblStylePr w:type="firstRow">
      <w:rPr>
        <w:rFonts w:ascii="Arial" w:hAnsi="Arial"/>
        <w:color w:val="F2F2F2"/>
        <w:sz w:val="22"/>
      </w:rPr>
      <w:tcPr>
        <w:shd w:val="clear" w:color="auto" w:fill="4BACC6" w:themeFill="accent5"/>
      </w:tcPr>
    </w:tblStylePr>
    <w:tblStylePr w:type="lastCol">
      <w:rPr>
        <w:rFonts w:ascii="Arial" w:hAnsi="Arial"/>
        <w:color w:val="F2F2F2"/>
        <w:sz w:val="22"/>
      </w:rPr>
      <w:tcPr>
        <w:shd w:val="clear" w:color="auto" w:fill="4BACC6" w:themeFill="accent5"/>
      </w:tcPr>
    </w:tblStylePr>
    <w:tblStylePr w:type="lastRow">
      <w:rPr>
        <w:rFonts w:ascii="Arial" w:hAnsi="Arial"/>
        <w:color w:val="F2F2F2"/>
        <w:sz w:val="22"/>
      </w:rPr>
      <w:tcPr>
        <w:shd w:val="clear" w:color="auto" w:fill="4BACC6" w:themeFill="accent5"/>
      </w:tcPr>
    </w:tblStylePr>
  </w:style>
  <w:style w:type="table" w:styleId="534" w:customStyle="1">
    <w:name w:val="Lined - Accent 6"/>
    <w:basedOn w:val="395"/>
    <w:uiPriority w:val="99"/>
    <w:rPr>
      <w:color w:val="404040"/>
      <w:sz w:val="20"/>
      <w:szCs w:val="20"/>
      <w:lang w:eastAsia="ru-RU"/>
    </w:rPr>
    <w:pPr>
      <w:spacing w:lineRule="auto" w:line="240" w:after="0"/>
    </w:pPr>
    <w:tblPr>
      <w:tblStyleRowBandSize w:val="1"/>
      <w:tblStyleColBandSize w:val="1"/>
      <w:tblInd w:w="0" w:type="dxa"/>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8" w:themeFill="accent6" w:themeFillTint="34"/>
      </w:tcPr>
    </w:tblStylePr>
    <w:tblStylePr w:type="band2Vert">
      <w:rPr>
        <w:rFonts w:ascii="Arial" w:hAnsi="Arial"/>
        <w:color w:val="404040"/>
        <w:sz w:val="22"/>
      </w:rPr>
      <w:tcPr>
        <w:shd w:val="clear" w:color="auto" w:fill="FDE9D8" w:themeFill="accent6" w:themeFillTint="34"/>
      </w:tcPr>
    </w:tblStylePr>
    <w:tblStylePr w:type="firstCol">
      <w:rPr>
        <w:rFonts w:ascii="Arial" w:hAnsi="Arial"/>
        <w:color w:val="F2F2F2"/>
        <w:sz w:val="22"/>
      </w:rPr>
      <w:tcPr>
        <w:shd w:val="clear" w:color="auto" w:fill="F79646" w:themeFill="accent6"/>
      </w:tcPr>
    </w:tblStylePr>
    <w:tblStylePr w:type="firstRow">
      <w:rPr>
        <w:rFonts w:ascii="Arial" w:hAnsi="Arial"/>
        <w:color w:val="F2F2F2"/>
        <w:sz w:val="22"/>
      </w:rPr>
      <w:tcPr>
        <w:shd w:val="clear" w:color="auto" w:fill="F79646" w:themeFill="accent6"/>
      </w:tcPr>
    </w:tblStylePr>
    <w:tblStylePr w:type="lastCol">
      <w:rPr>
        <w:rFonts w:ascii="Arial" w:hAnsi="Arial"/>
        <w:color w:val="F2F2F2"/>
        <w:sz w:val="22"/>
      </w:rPr>
      <w:tcPr>
        <w:shd w:val="clear" w:color="auto" w:fill="F79646" w:themeFill="accent6"/>
      </w:tcPr>
    </w:tblStylePr>
    <w:tblStylePr w:type="lastRow">
      <w:rPr>
        <w:rFonts w:ascii="Arial" w:hAnsi="Arial"/>
        <w:color w:val="F2F2F2"/>
        <w:sz w:val="22"/>
      </w:rPr>
      <w:tcPr>
        <w:shd w:val="clear" w:color="auto" w:fill="F79646" w:themeFill="accent6"/>
      </w:tcPr>
    </w:tblStylePr>
  </w:style>
  <w:style w:type="table" w:styleId="535" w:customStyle="1">
    <w:name w:val="Bordered &amp; Lined - Accent"/>
    <w:basedOn w:val="395"/>
    <w:uiPriority w:val="99"/>
    <w:rPr>
      <w:color w:val="404040"/>
      <w:sz w:val="20"/>
      <w:szCs w:val="20"/>
      <w:lang w:eastAsia="ru-RU"/>
    </w:rPr>
    <w:pPr>
      <w:spacing w:lineRule="auto" w:line="240" w:after="0"/>
    </w:pPr>
    <w:tblPr>
      <w:tblStyleRowBandSize w:val="1"/>
      <w:tblStyleColBandSize w:val="1"/>
      <w:tblInd w:w="0" w:type="dxa"/>
      <w:tblBorders>
        <w:left w:val="single" w:color="595959" w:sz="4" w:space="0" w:themeColor="text1" w:themeTint="A6"/>
        <w:top w:val="single" w:color="595959" w:sz="4" w:space="0" w:themeColor="text1" w:themeTint="A6"/>
        <w:right w:val="single" w:color="595959" w:sz="4" w:space="0" w:themeColor="text1" w:themeTint="A6"/>
        <w:bottom w:val="single" w:color="595959" w:sz="4" w:space="0" w:themeColor="text1" w:themeTint="A6"/>
        <w:insideV w:val="single" w:color="595959" w:sz="4" w:space="0" w:themeColor="text1" w:themeTint="A6"/>
        <w:insideH w:val="single" w:color="595959" w:sz="4" w:space="0" w:themeColor="text1" w:themeTint="A6"/>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F2F2" w:themeFill="text1" w:themeFillTint="00"/>
      </w:tcPr>
    </w:tblStylePr>
    <w:tblStylePr w:type="band2Vert">
      <w:rPr>
        <w:rFonts w:ascii="Arial" w:hAnsi="Arial"/>
        <w:color w:val="404040"/>
        <w:sz w:val="22"/>
      </w:rPr>
      <w:tcPr>
        <w:shd w:val="clear" w:color="auto" w:fill="F2F2F2" w:themeFill="text1" w:themeFillTint="00"/>
      </w:tcPr>
    </w:tblStylePr>
    <w:tblStylePr w:type="firstCol">
      <w:rPr>
        <w:rFonts w:ascii="Arial" w:hAnsi="Arial"/>
        <w:color w:val="F2F2F2"/>
        <w:sz w:val="22"/>
      </w:rPr>
      <w:tcPr>
        <w:shd w:val="clear" w:color="auto" w:fill="7F7F7F" w:themeFill="text1" w:themeFillTint="80"/>
      </w:tcPr>
    </w:tblStylePr>
    <w:tblStylePr w:type="firstRow">
      <w:rPr>
        <w:rFonts w:ascii="Arial" w:hAnsi="Arial"/>
        <w:color w:val="F2F2F2"/>
        <w:sz w:val="22"/>
      </w:rPr>
      <w:tcPr>
        <w:shd w:val="clear" w:color="auto" w:fill="7F7F7F" w:themeFill="text1" w:themeFillTint="80"/>
      </w:tcPr>
    </w:tblStylePr>
    <w:tblStylePr w:type="lastCol">
      <w:rPr>
        <w:rFonts w:ascii="Arial" w:hAnsi="Arial"/>
        <w:color w:val="F2F2F2"/>
        <w:sz w:val="22"/>
      </w:rPr>
      <w:tcPr>
        <w:shd w:val="clear" w:color="auto" w:fill="7F7F7F" w:themeFill="text1" w:themeFillTint="80"/>
      </w:tcPr>
    </w:tblStylePr>
    <w:tblStylePr w:type="lastRow">
      <w:rPr>
        <w:rFonts w:ascii="Arial" w:hAnsi="Arial"/>
        <w:color w:val="F2F2F2"/>
        <w:sz w:val="22"/>
      </w:rPr>
      <w:tcPr>
        <w:shd w:val="clear" w:color="auto" w:fill="7F7F7F" w:themeFill="text1" w:themeFillTint="80"/>
      </w:tcPr>
    </w:tblStylePr>
  </w:style>
  <w:style w:type="table" w:styleId="536" w:customStyle="1">
    <w:name w:val="Bordered &amp; Lined - Accent 1"/>
    <w:basedOn w:val="395"/>
    <w:uiPriority w:val="99"/>
    <w:rPr>
      <w:color w:val="404040"/>
      <w:sz w:val="20"/>
      <w:szCs w:val="20"/>
      <w:lang w:eastAsia="ru-RU"/>
    </w:rPr>
    <w:pPr>
      <w:spacing w:lineRule="auto" w:line="240" w:after="0"/>
    </w:pPr>
    <w:tblPr>
      <w:tblStyleRowBandSize w:val="1"/>
      <w:tblStyleColBandSize w:val="1"/>
      <w:tblInd w:w="0" w:type="dxa"/>
      <w:tblBorders>
        <w:left w:val="single" w:color="2A4A71" w:sz="4" w:space="0" w:themeColor="accent1" w:themeShade="95"/>
        <w:top w:val="single" w:color="2A4A71" w:sz="4" w:space="0" w:themeColor="accent1" w:themeShade="95"/>
        <w:right w:val="single" w:color="2A4A71" w:sz="4" w:space="0" w:themeColor="accent1" w:themeShade="95"/>
        <w:bottom w:val="single" w:color="2A4A71" w:sz="4" w:space="0" w:themeColor="accent1" w:themeShade="95"/>
        <w:insideV w:val="single" w:color="2A4A71" w:sz="4" w:space="0" w:themeColor="accent1" w:themeShade="95"/>
        <w:insideH w:val="single" w:color="2A4A71" w:sz="4" w:space="0" w:themeColor="accent1"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C7D7EA" w:themeFill="accent1" w:themeFillTint="50"/>
      </w:tcPr>
    </w:tblStylePr>
    <w:tblStylePr w:type="band2Vert">
      <w:rPr>
        <w:rFonts w:ascii="Arial" w:hAnsi="Arial"/>
        <w:color w:val="404040"/>
        <w:sz w:val="22"/>
      </w:rPr>
      <w:tcPr>
        <w:shd w:val="clear" w:color="auto" w:fill="C7D7EA" w:themeFill="accent1" w:themeFillTint="50"/>
      </w:tcPr>
    </w:tblStylePr>
    <w:tblStylePr w:type="firstCol">
      <w:rPr>
        <w:rFonts w:ascii="Arial" w:hAnsi="Arial"/>
        <w:color w:val="F2F2F2"/>
        <w:sz w:val="22"/>
      </w:rPr>
      <w:tcPr>
        <w:shd w:val="clear" w:color="auto" w:fill="5D8AC2" w:themeFill="accent1" w:themeFillTint="EA"/>
      </w:tcPr>
    </w:tblStylePr>
    <w:tblStylePr w:type="firstRow">
      <w:rPr>
        <w:rFonts w:ascii="Arial" w:hAnsi="Arial"/>
        <w:color w:val="F2F2F2"/>
        <w:sz w:val="22"/>
      </w:rPr>
      <w:tcPr>
        <w:shd w:val="clear" w:color="auto" w:fill="5D8AC2" w:themeFill="accent1" w:themeFillTint="EA"/>
      </w:tcPr>
    </w:tblStylePr>
    <w:tblStylePr w:type="lastCol">
      <w:rPr>
        <w:rFonts w:ascii="Arial" w:hAnsi="Arial"/>
        <w:color w:val="F2F2F2"/>
        <w:sz w:val="22"/>
      </w:rPr>
      <w:tcPr>
        <w:shd w:val="clear" w:color="auto" w:fill="5D8AC2" w:themeFill="accent1" w:themeFillTint="EA"/>
      </w:tcPr>
    </w:tblStylePr>
    <w:tblStylePr w:type="lastRow">
      <w:rPr>
        <w:rFonts w:ascii="Arial" w:hAnsi="Arial"/>
        <w:color w:val="F2F2F2"/>
        <w:sz w:val="22"/>
      </w:rPr>
      <w:tcPr>
        <w:shd w:val="clear" w:color="auto" w:fill="5D8AC2" w:themeFill="accent1" w:themeFillTint="EA"/>
      </w:tcPr>
    </w:tblStylePr>
  </w:style>
  <w:style w:type="table" w:styleId="537" w:customStyle="1">
    <w:name w:val="Bordered &amp; Lined - Accent 2"/>
    <w:basedOn w:val="395"/>
    <w:uiPriority w:val="99"/>
    <w:rPr>
      <w:color w:val="404040"/>
      <w:sz w:val="20"/>
      <w:szCs w:val="20"/>
      <w:lang w:eastAsia="ru-RU"/>
    </w:rPr>
    <w:pPr>
      <w:spacing w:lineRule="auto" w:line="240" w:after="0"/>
    </w:pPr>
    <w:tblPr>
      <w:tblStyleRowBandSize w:val="1"/>
      <w:tblStyleColBandSize w:val="1"/>
      <w:tblInd w:w="0" w:type="dxa"/>
      <w:tblBorders>
        <w:left w:val="single" w:color="732A29" w:sz="4" w:space="0" w:themeColor="accent2" w:themeShade="95"/>
        <w:top w:val="single" w:color="732A29" w:sz="4" w:space="0" w:themeColor="accent2" w:themeShade="95"/>
        <w:right w:val="single" w:color="732A29" w:sz="4" w:space="0" w:themeColor="accent2" w:themeShade="95"/>
        <w:bottom w:val="single" w:color="732A29" w:sz="4" w:space="0" w:themeColor="accent2" w:themeShade="95"/>
        <w:insideV w:val="single" w:color="732A29" w:sz="4" w:space="0" w:themeColor="accent2" w:themeShade="95"/>
        <w:insideH w:val="single" w:color="732A29" w:sz="4" w:space="0" w:themeColor="accent2"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2DCDC" w:themeFill="accent2" w:themeFillTint="32"/>
      </w:tcPr>
    </w:tblStylePr>
    <w:tblStylePr w:type="band2Vert">
      <w:rPr>
        <w:rFonts w:ascii="Arial" w:hAnsi="Arial"/>
        <w:color w:val="404040"/>
        <w:sz w:val="22"/>
      </w:rPr>
      <w:tcPr>
        <w:shd w:val="clear" w:color="auto" w:fill="F2DCDC" w:themeFill="accent2" w:themeFillTint="32"/>
      </w:tcPr>
    </w:tblStylePr>
    <w:tblStylePr w:type="firstCol">
      <w:rPr>
        <w:rFonts w:ascii="Arial" w:hAnsi="Arial"/>
        <w:color w:val="F2F2F2"/>
        <w:sz w:val="22"/>
      </w:rPr>
      <w:tcPr>
        <w:shd w:val="clear" w:color="auto" w:fill="D99695" w:themeFill="accent2" w:themeFillTint="97"/>
      </w:tcPr>
    </w:tblStylePr>
    <w:tblStylePr w:type="firstRow">
      <w:rPr>
        <w:rFonts w:ascii="Arial" w:hAnsi="Arial"/>
        <w:color w:val="F2F2F2"/>
        <w:sz w:val="22"/>
      </w:rPr>
      <w:tcPr>
        <w:shd w:val="clear" w:color="auto" w:fill="D99695" w:themeFill="accent2" w:themeFillTint="97"/>
      </w:tcPr>
    </w:tblStylePr>
    <w:tblStylePr w:type="lastCol">
      <w:rPr>
        <w:rFonts w:ascii="Arial" w:hAnsi="Arial"/>
        <w:color w:val="F2F2F2"/>
        <w:sz w:val="22"/>
      </w:rPr>
      <w:tcPr>
        <w:shd w:val="clear" w:color="auto" w:fill="D99695" w:themeFill="accent2" w:themeFillTint="97"/>
      </w:tcPr>
    </w:tblStylePr>
    <w:tblStylePr w:type="lastRow">
      <w:rPr>
        <w:rFonts w:ascii="Arial" w:hAnsi="Arial"/>
        <w:color w:val="F2F2F2"/>
        <w:sz w:val="22"/>
      </w:rPr>
      <w:tcPr>
        <w:shd w:val="clear" w:color="auto" w:fill="D99695" w:themeFill="accent2" w:themeFillTint="97"/>
      </w:tcPr>
    </w:tblStylePr>
  </w:style>
  <w:style w:type="table" w:styleId="538" w:customStyle="1">
    <w:name w:val="Bordered &amp; Lined - Accent 3"/>
    <w:basedOn w:val="395"/>
    <w:uiPriority w:val="99"/>
    <w:rPr>
      <w:color w:val="404040"/>
      <w:sz w:val="20"/>
      <w:szCs w:val="20"/>
      <w:lang w:eastAsia="ru-RU"/>
    </w:rPr>
    <w:pPr>
      <w:spacing w:lineRule="auto" w:line="240" w:after="0"/>
    </w:pPr>
    <w:tblPr>
      <w:tblStyleRowBandSize w:val="1"/>
      <w:tblStyleColBandSize w:val="1"/>
      <w:tblInd w:w="0" w:type="dxa"/>
      <w:tblBorders>
        <w:left w:val="single" w:color="5B722E" w:sz="4" w:space="0" w:themeColor="accent3" w:themeShade="95"/>
        <w:top w:val="single" w:color="5B722E" w:sz="4" w:space="0" w:themeColor="accent3" w:themeShade="95"/>
        <w:right w:val="single" w:color="5B722E" w:sz="4" w:space="0" w:themeColor="accent3" w:themeShade="95"/>
        <w:bottom w:val="single" w:color="5B722E" w:sz="4" w:space="0" w:themeColor="accent3" w:themeShade="95"/>
        <w:insideV w:val="single" w:color="5B722E" w:sz="4" w:space="0" w:themeColor="accent3" w:themeShade="95"/>
        <w:insideH w:val="single" w:color="5B722E" w:sz="4" w:space="0" w:themeColor="accent3"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AF1DC" w:themeFill="accent3" w:themeFillTint="34"/>
      </w:tcPr>
    </w:tblStylePr>
    <w:tblStylePr w:type="band2Vert">
      <w:rPr>
        <w:rFonts w:ascii="Arial" w:hAnsi="Arial"/>
        <w:color w:val="404040"/>
        <w:sz w:val="22"/>
      </w:rPr>
      <w:tcPr>
        <w:shd w:val="clear" w:color="auto" w:fill="EAF1DC" w:themeFill="accent3" w:themeFillTint="34"/>
      </w:tcPr>
    </w:tblStylePr>
    <w:tblStylePr w:type="firstCol">
      <w:rPr>
        <w:rFonts w:ascii="Arial" w:hAnsi="Arial"/>
        <w:color w:val="F2F2F2"/>
        <w:sz w:val="22"/>
      </w:rPr>
      <w:tcPr>
        <w:shd w:val="clear" w:color="auto" w:fill="9ABB59" w:themeFill="accent3" w:themeFillTint="FE"/>
      </w:tcPr>
    </w:tblStylePr>
    <w:tblStylePr w:type="firstRow">
      <w:rPr>
        <w:rFonts w:ascii="Arial" w:hAnsi="Arial"/>
        <w:color w:val="F2F2F2"/>
        <w:sz w:val="22"/>
      </w:rPr>
      <w:tcPr>
        <w:shd w:val="clear" w:color="auto" w:fill="9ABB59" w:themeFill="accent3" w:themeFillTint="FE"/>
      </w:tcPr>
    </w:tblStylePr>
    <w:tblStylePr w:type="lastCol">
      <w:rPr>
        <w:rFonts w:ascii="Arial" w:hAnsi="Arial"/>
        <w:color w:val="F2F2F2"/>
        <w:sz w:val="22"/>
      </w:rPr>
      <w:tcPr>
        <w:shd w:val="clear" w:color="auto" w:fill="9ABB59" w:themeFill="accent3" w:themeFillTint="FE"/>
      </w:tcPr>
    </w:tblStylePr>
    <w:tblStylePr w:type="lastRow">
      <w:rPr>
        <w:rFonts w:ascii="Arial" w:hAnsi="Arial"/>
        <w:color w:val="F2F2F2"/>
        <w:sz w:val="22"/>
      </w:rPr>
      <w:tcPr>
        <w:shd w:val="clear" w:color="auto" w:fill="9ABB59" w:themeFill="accent3" w:themeFillTint="FE"/>
      </w:tcPr>
    </w:tblStylePr>
  </w:style>
  <w:style w:type="table" w:styleId="539" w:customStyle="1">
    <w:name w:val="Bordered &amp; Lined - Accent 4"/>
    <w:basedOn w:val="395"/>
    <w:uiPriority w:val="99"/>
    <w:rPr>
      <w:color w:val="404040"/>
      <w:sz w:val="20"/>
      <w:szCs w:val="20"/>
      <w:lang w:eastAsia="ru-RU"/>
    </w:rPr>
    <w:pPr>
      <w:spacing w:lineRule="auto" w:line="240" w:after="0"/>
    </w:pPr>
    <w:tblPr>
      <w:tblStyleRowBandSize w:val="1"/>
      <w:tblStyleColBandSize w:val="1"/>
      <w:tblInd w:w="0" w:type="dxa"/>
      <w:tblBorders>
        <w:left w:val="single" w:color="4A395F" w:sz="4" w:space="0" w:themeColor="accent4" w:themeShade="95"/>
        <w:top w:val="single" w:color="4A395F" w:sz="4" w:space="0" w:themeColor="accent4" w:themeShade="95"/>
        <w:right w:val="single" w:color="4A395F" w:sz="4" w:space="0" w:themeColor="accent4" w:themeShade="95"/>
        <w:bottom w:val="single" w:color="4A395F" w:sz="4" w:space="0" w:themeColor="accent4" w:themeShade="95"/>
        <w:insideV w:val="single" w:color="4A395F" w:sz="4" w:space="0" w:themeColor="accent4" w:themeShade="95"/>
        <w:insideH w:val="single" w:color="4A395F" w:sz="4" w:space="0" w:themeColor="accent4"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E5DFEC" w:themeFill="accent4" w:themeFillTint="34"/>
      </w:tcPr>
    </w:tblStylePr>
    <w:tblStylePr w:type="band2Vert">
      <w:rPr>
        <w:rFonts w:ascii="Arial" w:hAnsi="Arial"/>
        <w:color w:val="404040"/>
        <w:sz w:val="22"/>
      </w:rPr>
      <w:tcPr>
        <w:shd w:val="clear" w:color="auto" w:fill="E5DFEC" w:themeFill="accent4" w:themeFillTint="34"/>
      </w:tcPr>
    </w:tblStylePr>
    <w:tblStylePr w:type="firstCol">
      <w:rPr>
        <w:rFonts w:ascii="Arial" w:hAnsi="Arial"/>
        <w:color w:val="F2F2F2"/>
        <w:sz w:val="22"/>
      </w:rPr>
      <w:tcPr>
        <w:shd w:val="clear" w:color="auto" w:fill="B2A1C6" w:themeFill="accent4" w:themeFillTint="9A"/>
      </w:tcPr>
    </w:tblStylePr>
    <w:tblStylePr w:type="firstRow">
      <w:rPr>
        <w:rFonts w:ascii="Arial" w:hAnsi="Arial"/>
        <w:color w:val="F2F2F2"/>
        <w:sz w:val="22"/>
      </w:rPr>
      <w:tcPr>
        <w:shd w:val="clear" w:color="auto" w:fill="B2A1C6" w:themeFill="accent4" w:themeFillTint="9A"/>
      </w:tcPr>
    </w:tblStylePr>
    <w:tblStylePr w:type="lastCol">
      <w:rPr>
        <w:rFonts w:ascii="Arial" w:hAnsi="Arial"/>
        <w:color w:val="F2F2F2"/>
        <w:sz w:val="22"/>
      </w:rPr>
      <w:tcPr>
        <w:shd w:val="clear" w:color="auto" w:fill="B2A1C6" w:themeFill="accent4" w:themeFillTint="9A"/>
      </w:tcPr>
    </w:tblStylePr>
    <w:tblStylePr w:type="lastRow">
      <w:rPr>
        <w:rFonts w:ascii="Arial" w:hAnsi="Arial"/>
        <w:color w:val="F2F2F2"/>
        <w:sz w:val="22"/>
      </w:rPr>
      <w:tcPr>
        <w:shd w:val="clear" w:color="auto" w:fill="B2A1C6" w:themeFill="accent4" w:themeFillTint="9A"/>
      </w:tcPr>
    </w:tblStylePr>
  </w:style>
  <w:style w:type="table" w:styleId="540" w:customStyle="1">
    <w:name w:val="Bordered &amp; Lined - Accent 5"/>
    <w:basedOn w:val="395"/>
    <w:uiPriority w:val="99"/>
    <w:rPr>
      <w:color w:val="404040"/>
      <w:sz w:val="20"/>
      <w:szCs w:val="20"/>
      <w:lang w:eastAsia="ru-RU"/>
    </w:rPr>
    <w:pPr>
      <w:spacing w:lineRule="auto" w:line="240" w:after="0"/>
    </w:pPr>
    <w:tblPr>
      <w:tblStyleRowBandSize w:val="1"/>
      <w:tblStyleColBandSize w:val="1"/>
      <w:tblInd w:w="0" w:type="dxa"/>
      <w:tblBorders>
        <w:left w:val="single" w:color="266779" w:sz="4" w:space="0" w:themeColor="accent5" w:themeShade="95"/>
        <w:top w:val="single" w:color="266779" w:sz="4" w:space="0" w:themeColor="accent5" w:themeShade="95"/>
        <w:right w:val="single" w:color="266779" w:sz="4" w:space="0" w:themeColor="accent5" w:themeShade="95"/>
        <w:bottom w:val="single" w:color="266779" w:sz="4" w:space="0" w:themeColor="accent5" w:themeShade="95"/>
        <w:insideV w:val="single" w:color="266779" w:sz="4" w:space="0" w:themeColor="accent5" w:themeShade="95"/>
        <w:insideH w:val="single" w:color="266779" w:sz="4" w:space="0" w:themeColor="accent5"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DAEEF3" w:themeFill="accent5" w:themeFillTint="34"/>
      </w:tcPr>
    </w:tblStylePr>
    <w:tblStylePr w:type="band2Vert">
      <w:rPr>
        <w:rFonts w:ascii="Arial" w:hAnsi="Arial"/>
        <w:color w:val="404040"/>
        <w:sz w:val="22"/>
      </w:rPr>
      <w:tcPr>
        <w:shd w:val="clear" w:color="auto" w:fill="DAEEF3" w:themeFill="accent5" w:themeFillTint="34"/>
      </w:tcPr>
    </w:tblStylePr>
    <w:tblStylePr w:type="firstCol">
      <w:rPr>
        <w:rFonts w:ascii="Arial" w:hAnsi="Arial"/>
        <w:color w:val="F2F2F2"/>
        <w:sz w:val="22"/>
      </w:rPr>
      <w:tcPr>
        <w:shd w:val="clear" w:color="auto" w:fill="4BACC6" w:themeFill="accent5"/>
      </w:tcPr>
    </w:tblStylePr>
    <w:tblStylePr w:type="firstRow">
      <w:rPr>
        <w:rFonts w:ascii="Arial" w:hAnsi="Arial"/>
        <w:color w:val="F2F2F2"/>
        <w:sz w:val="22"/>
      </w:rPr>
      <w:tcPr>
        <w:shd w:val="clear" w:color="auto" w:fill="4BACC6" w:themeFill="accent5"/>
      </w:tcPr>
    </w:tblStylePr>
    <w:tblStylePr w:type="lastCol">
      <w:rPr>
        <w:rFonts w:ascii="Arial" w:hAnsi="Arial"/>
        <w:color w:val="F2F2F2"/>
        <w:sz w:val="22"/>
      </w:rPr>
      <w:tcPr>
        <w:shd w:val="clear" w:color="auto" w:fill="4BACC6" w:themeFill="accent5"/>
      </w:tcPr>
    </w:tblStylePr>
    <w:tblStylePr w:type="lastRow">
      <w:rPr>
        <w:rFonts w:ascii="Arial" w:hAnsi="Arial"/>
        <w:color w:val="F2F2F2"/>
        <w:sz w:val="22"/>
      </w:rPr>
      <w:tcPr>
        <w:shd w:val="clear" w:color="auto" w:fill="4BACC6" w:themeFill="accent5"/>
      </w:tcPr>
    </w:tblStylePr>
  </w:style>
  <w:style w:type="table" w:styleId="541" w:customStyle="1">
    <w:name w:val="Bordered &amp; Lined - Accent 6"/>
    <w:basedOn w:val="395"/>
    <w:uiPriority w:val="99"/>
    <w:rPr>
      <w:color w:val="404040"/>
      <w:sz w:val="20"/>
      <w:szCs w:val="20"/>
      <w:lang w:eastAsia="ru-RU"/>
    </w:rPr>
    <w:pPr>
      <w:spacing w:lineRule="auto" w:line="240" w:after="0"/>
    </w:pPr>
    <w:tblPr>
      <w:tblStyleRowBandSize w:val="1"/>
      <w:tblStyleColBandSize w:val="1"/>
      <w:tblInd w:w="0" w:type="dxa"/>
      <w:tblBorders>
        <w:left w:val="single" w:color="B15407" w:sz="4" w:space="0" w:themeColor="accent6" w:themeShade="95"/>
        <w:top w:val="single" w:color="B15407" w:sz="4" w:space="0" w:themeColor="accent6" w:themeShade="95"/>
        <w:right w:val="single" w:color="B15407" w:sz="4" w:space="0" w:themeColor="accent6" w:themeShade="95"/>
        <w:bottom w:val="single" w:color="B15407" w:sz="4" w:space="0" w:themeColor="accent6" w:themeShade="95"/>
        <w:insideV w:val="single" w:color="B15407" w:sz="4" w:space="0" w:themeColor="accent6" w:themeShade="95"/>
        <w:insideH w:val="single" w:color="B15407" w:sz="4" w:space="0" w:themeColor="accent6" w:themeShade="95"/>
      </w:tblBorders>
      <w:tblCellMar>
        <w:left w:w="108" w:type="dxa"/>
        <w:top w:w="0" w:type="dxa"/>
        <w:right w:w="108" w:type="dxa"/>
        <w:bottom w:w="0" w:type="dxa"/>
      </w:tblCellMar>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DE9D8" w:themeFill="accent6" w:themeFillTint="34"/>
      </w:tcPr>
    </w:tblStylePr>
    <w:tblStylePr w:type="band2Vert">
      <w:rPr>
        <w:rFonts w:ascii="Arial" w:hAnsi="Arial"/>
        <w:color w:val="404040"/>
        <w:sz w:val="22"/>
      </w:rPr>
      <w:tcPr>
        <w:shd w:val="clear" w:color="auto" w:fill="FDE9D8" w:themeFill="accent6" w:themeFillTint="34"/>
      </w:tcPr>
    </w:tblStylePr>
    <w:tblStylePr w:type="firstCol">
      <w:rPr>
        <w:rFonts w:ascii="Arial" w:hAnsi="Arial"/>
        <w:color w:val="F2F2F2"/>
        <w:sz w:val="22"/>
      </w:rPr>
      <w:tcPr>
        <w:shd w:val="clear" w:color="auto" w:fill="F79646" w:themeFill="accent6"/>
      </w:tcPr>
    </w:tblStylePr>
    <w:tblStylePr w:type="firstRow">
      <w:rPr>
        <w:rFonts w:ascii="Arial" w:hAnsi="Arial"/>
        <w:color w:val="F2F2F2"/>
        <w:sz w:val="22"/>
      </w:rPr>
      <w:tcPr>
        <w:shd w:val="clear" w:color="auto" w:fill="F79646" w:themeFill="accent6"/>
      </w:tcPr>
    </w:tblStylePr>
    <w:tblStylePr w:type="lastCol">
      <w:rPr>
        <w:rFonts w:ascii="Arial" w:hAnsi="Arial"/>
        <w:color w:val="F2F2F2"/>
        <w:sz w:val="22"/>
      </w:rPr>
      <w:tcPr>
        <w:shd w:val="clear" w:color="auto" w:fill="F79646" w:themeFill="accent6"/>
      </w:tcPr>
    </w:tblStylePr>
    <w:tblStylePr w:type="lastRow">
      <w:rPr>
        <w:rFonts w:ascii="Arial" w:hAnsi="Arial"/>
        <w:color w:val="F2F2F2"/>
        <w:sz w:val="22"/>
      </w:rPr>
      <w:tcPr>
        <w:shd w:val="clear" w:color="auto" w:fill="F79646" w:themeFill="accent6"/>
      </w:tcPr>
    </w:tblStylePr>
  </w:style>
  <w:style w:type="table" w:styleId="542" w:customStyle="1">
    <w:name w:val="Bordered"/>
    <w:basedOn w:val="395"/>
    <w:uiPriority w:val="99"/>
    <w:pPr>
      <w:spacing w:lineRule="auto" w:line="240" w:after="0"/>
    </w:pPr>
    <w:tblPr>
      <w:tblStyleRowBandSize w:val="1"/>
      <w:tblStyleColBandSize w:val="1"/>
      <w:tblInd w:w="0" w:type="dxa"/>
      <w:tblBorders>
        <w:left w:val="single" w:color="D9D9D9" w:sz="4" w:space="0" w:themeColor="text1" w:themeTint="26"/>
        <w:top w:val="single" w:color="D9D9D9" w:sz="4" w:space="0" w:themeColor="text1" w:themeTint="26"/>
        <w:right w:val="single" w:color="D9D9D9" w:sz="4" w:space="0" w:themeColor="text1" w:themeTint="26"/>
        <w:bottom w:val="single" w:color="D9D9D9" w:sz="4" w:space="0" w:themeColor="text1" w:themeTint="26"/>
        <w:insideV w:val="single" w:color="D9D9D9" w:sz="4" w:space="0" w:themeColor="text1" w:themeTint="26"/>
        <w:insideH w:val="single" w:color="D9D9D9" w:sz="4" w:space="0" w:themeColor="text1" w:themeTint="26"/>
      </w:tblBorders>
      <w:tblCellMar>
        <w:left w:w="108" w:type="dxa"/>
        <w:top w:w="0" w:type="dxa"/>
        <w:right w:w="108" w:type="dxa"/>
        <w:bottom w:w="0" w:type="dxa"/>
      </w:tblCellMar>
    </w:tblPr>
    <w:tblStylePr w:type="band1Horz">
      <w:rPr>
        <w:rFonts w:ascii="Arial" w:hAnsi="Arial"/>
        <w:color w:val="404040"/>
        <w:sz w:val="22"/>
      </w:rPr>
      <w:tcPr>
        <w:tcBorders>
          <w:left w:val="single" w:color="D9D9D9" w:sz="4" w:space="0" w:themeColor="text1" w:themeTint="26"/>
          <w:top w:val="single" w:color="D9D9D9" w:sz="4" w:space="0" w:themeColor="text1" w:themeTint="26"/>
          <w:right w:val="single" w:color="D9D9D9" w:sz="4" w:space="0" w:themeColor="text1" w:themeTint="26"/>
          <w:bottom w:val="single" w:color="D9D9D9"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sz="12" w:space="0" w:themeColor="text1" w:themeTint="80"/>
        </w:tcBorders>
      </w:tcPr>
    </w:tblStylePr>
    <w:tblStylePr w:type="lastCol">
      <w:rPr>
        <w:rFonts w:ascii="Arial" w:hAnsi="Arial"/>
        <w:color w:val="404040"/>
        <w:sz w:val="22"/>
      </w:rPr>
      <w:tcPr>
        <w:tcBorders>
          <w:left w:val="single" w:color="7F7F7F" w:sz="12" w:space="0" w:themeColor="text1" w:themeTint="80"/>
        </w:tcBorders>
      </w:tcPr>
    </w:tblStylePr>
    <w:tblStylePr w:type="lastRow">
      <w:rPr>
        <w:rFonts w:ascii="Arial" w:hAnsi="Arial"/>
        <w:color w:val="404040"/>
        <w:sz w:val="22"/>
      </w:rPr>
      <w:tcPr>
        <w:tcBorders>
          <w:top w:val="single" w:color="7F7F7F" w:sz="12" w:space="0" w:themeColor="text1" w:themeTint="80"/>
        </w:tcBorders>
      </w:tcPr>
    </w:tblStylePr>
  </w:style>
  <w:style w:type="table" w:styleId="543" w:customStyle="1">
    <w:name w:val="Bordered - Accent 1"/>
    <w:basedOn w:val="395"/>
    <w:uiPriority w:val="99"/>
    <w:pPr>
      <w:spacing w:lineRule="auto" w:line="240" w:after="0"/>
    </w:pPr>
    <w:tblPr>
      <w:tblStyleRowBandSize w:val="1"/>
      <w:tblStyleColBandSize w:val="1"/>
      <w:tblInd w:w="0" w:type="dxa"/>
      <w:tbl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insideV w:val="single" w:color="B7CBE4" w:sz="4" w:space="0" w:themeColor="accent1" w:themeTint="67"/>
        <w:insideH w:val="single" w:color="B7CBE4" w:sz="4" w:space="0" w:themeColor="accent1" w:themeTint="67"/>
      </w:tblBorders>
      <w:tblCellMar>
        <w:left w:w="108" w:type="dxa"/>
        <w:top w:w="0" w:type="dxa"/>
        <w:right w:w="108" w:type="dxa"/>
        <w:bottom w:w="0" w:type="dxa"/>
      </w:tblCellMar>
    </w:tblPr>
    <w:tblStylePr w:type="band1Horz">
      <w:rPr>
        <w:rFonts w:ascii="Arial" w:hAnsi="Arial"/>
        <w:color w:val="404040"/>
        <w:sz w:val="22"/>
      </w:rPr>
      <w:tcPr>
        <w:tcBorders>
          <w:left w:val="single" w:color="B7CBE4" w:sz="4" w:space="0" w:themeColor="accent1" w:themeTint="67"/>
          <w:top w:val="single" w:color="B7CBE4" w:sz="4" w:space="0" w:themeColor="accent1" w:themeTint="67"/>
          <w:right w:val="single" w:color="B7CBE4" w:sz="4" w:space="0" w:themeColor="accent1" w:themeTint="67"/>
          <w:bottom w:val="single" w:color="B7CBE4"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sz="12" w:space="0" w:themeColor="accent1"/>
        </w:tcBorders>
      </w:tcPr>
    </w:tblStylePr>
    <w:tblStylePr w:type="lastCol">
      <w:rPr>
        <w:rFonts w:ascii="Arial" w:hAnsi="Arial"/>
        <w:color w:val="404040"/>
        <w:sz w:val="22"/>
      </w:rPr>
      <w:tcPr>
        <w:tcBorders>
          <w:left w:val="single" w:color="4F81BD" w:sz="12" w:space="0" w:themeColor="accent1"/>
        </w:tcBorders>
      </w:tcPr>
    </w:tblStylePr>
    <w:tblStylePr w:type="lastRow">
      <w:rPr>
        <w:rFonts w:ascii="Arial" w:hAnsi="Arial"/>
        <w:color w:val="404040"/>
        <w:sz w:val="22"/>
      </w:rPr>
      <w:tcPr>
        <w:tcBorders>
          <w:top w:val="single" w:color="4F81BD" w:sz="12" w:space="0" w:themeColor="accent1"/>
        </w:tcBorders>
      </w:tcPr>
    </w:tblStylePr>
  </w:style>
  <w:style w:type="table" w:styleId="544" w:customStyle="1">
    <w:name w:val="Bordered - Accent 2"/>
    <w:basedOn w:val="395"/>
    <w:uiPriority w:val="99"/>
    <w:pPr>
      <w:spacing w:lineRule="auto" w:line="240" w:after="0"/>
    </w:pPr>
    <w:tblPr>
      <w:tblStyleRowBandSize w:val="1"/>
      <w:tblStyleColBandSize w:val="1"/>
      <w:tblInd w:w="0" w:type="dxa"/>
      <w:tbl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insideV w:val="single" w:color="E5B7B6" w:sz="4" w:space="0" w:themeColor="accent2" w:themeTint="67"/>
        <w:insideH w:val="single" w:color="E5B7B6" w:sz="4" w:space="0" w:themeColor="accent2" w:themeTint="67"/>
      </w:tblBorders>
      <w:tblCellMar>
        <w:left w:w="108" w:type="dxa"/>
        <w:top w:w="0" w:type="dxa"/>
        <w:right w:w="108" w:type="dxa"/>
        <w:bottom w:w="0" w:type="dxa"/>
      </w:tblCellMar>
    </w:tblPr>
    <w:tblStylePr w:type="band1Horz">
      <w:rPr>
        <w:rFonts w:ascii="Arial" w:hAnsi="Arial"/>
        <w:color w:val="404040"/>
        <w:sz w:val="22"/>
      </w:rPr>
      <w:tcPr>
        <w:tcBorders>
          <w:left w:val="single" w:color="E5B7B6" w:sz="4" w:space="0" w:themeColor="accent2" w:themeTint="67"/>
          <w:top w:val="single" w:color="E5B7B6" w:sz="4" w:space="0" w:themeColor="accent2" w:themeTint="67"/>
          <w:right w:val="single" w:color="E5B7B6" w:sz="4" w:space="0" w:themeColor="accent2" w:themeTint="67"/>
          <w:bottom w:val="single" w:color="E5B7B6"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sz="12" w:space="0" w:themeColor="accent2" w:themeTint="97"/>
        </w:tcBorders>
      </w:tcPr>
    </w:tblStylePr>
    <w:tblStylePr w:type="lastCol">
      <w:rPr>
        <w:rFonts w:ascii="Arial" w:hAnsi="Arial"/>
        <w:color w:val="404040"/>
        <w:sz w:val="22"/>
      </w:rPr>
      <w:tcPr>
        <w:tcBorders>
          <w:left w:val="single" w:color="D99695" w:sz="12" w:space="0" w:themeColor="accent2" w:themeTint="97"/>
        </w:tcBorders>
      </w:tcPr>
    </w:tblStylePr>
    <w:tblStylePr w:type="lastRow">
      <w:rPr>
        <w:rFonts w:ascii="Arial" w:hAnsi="Arial"/>
        <w:color w:val="404040"/>
        <w:sz w:val="22"/>
      </w:rPr>
      <w:tcPr>
        <w:tcBorders>
          <w:top w:val="single" w:color="D99695" w:sz="12" w:space="0" w:themeColor="accent2" w:themeTint="97"/>
        </w:tcBorders>
      </w:tcPr>
    </w:tblStylePr>
  </w:style>
  <w:style w:type="table" w:styleId="545" w:customStyle="1">
    <w:name w:val="Bordered - Accent 3"/>
    <w:basedOn w:val="395"/>
    <w:uiPriority w:val="99"/>
    <w:pPr>
      <w:spacing w:lineRule="auto" w:line="240" w:after="0"/>
    </w:pPr>
    <w:tblPr>
      <w:tblStyleRowBandSize w:val="1"/>
      <w:tblStyleColBandSize w:val="1"/>
      <w:tblInd w:w="0" w:type="dxa"/>
      <w:tbl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insideV w:val="single" w:color="D6E3BB" w:sz="4" w:space="0" w:themeColor="accent3" w:themeTint="67"/>
        <w:insideH w:val="single" w:color="D6E3BB" w:sz="4" w:space="0" w:themeColor="accent3" w:themeTint="67"/>
      </w:tblBorders>
      <w:tblCellMar>
        <w:left w:w="108" w:type="dxa"/>
        <w:top w:w="0" w:type="dxa"/>
        <w:right w:w="108" w:type="dxa"/>
        <w:bottom w:w="0" w:type="dxa"/>
      </w:tblCellMar>
    </w:tblPr>
    <w:tblStylePr w:type="band1Horz">
      <w:rPr>
        <w:rFonts w:ascii="Arial" w:hAnsi="Arial"/>
        <w:color w:val="404040"/>
        <w:sz w:val="22"/>
      </w:rPr>
      <w:tcPr>
        <w:tcBorders>
          <w:left w:val="single" w:color="D6E3BB" w:sz="4" w:space="0" w:themeColor="accent3" w:themeTint="67"/>
          <w:top w:val="single" w:color="D6E3BB" w:sz="4" w:space="0" w:themeColor="accent3" w:themeTint="67"/>
          <w:right w:val="single" w:color="D6E3BB" w:sz="4" w:space="0" w:themeColor="accent3" w:themeTint="67"/>
          <w:bottom w:val="single" w:color="D6E3BB"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sz="12" w:space="0" w:themeColor="accent3" w:themeTint="98"/>
        </w:tcBorders>
      </w:tcPr>
    </w:tblStylePr>
    <w:tblStylePr w:type="lastCol">
      <w:rPr>
        <w:rFonts w:ascii="Arial" w:hAnsi="Arial"/>
        <w:color w:val="404040"/>
        <w:sz w:val="22"/>
      </w:rPr>
      <w:tcPr>
        <w:tcBorders>
          <w:left w:val="single" w:color="C3D69B" w:sz="12" w:space="0" w:themeColor="accent3" w:themeTint="98"/>
        </w:tcBorders>
      </w:tcPr>
    </w:tblStylePr>
    <w:tblStylePr w:type="lastRow">
      <w:rPr>
        <w:rFonts w:ascii="Arial" w:hAnsi="Arial"/>
        <w:color w:val="404040"/>
        <w:sz w:val="22"/>
      </w:rPr>
      <w:tcPr>
        <w:tcBorders>
          <w:top w:val="single" w:color="C3D69B" w:sz="12" w:space="0" w:themeColor="accent3" w:themeTint="98"/>
        </w:tcBorders>
      </w:tcPr>
    </w:tblStylePr>
  </w:style>
  <w:style w:type="table" w:styleId="546" w:customStyle="1">
    <w:name w:val="Bordered - Accent 4"/>
    <w:basedOn w:val="395"/>
    <w:uiPriority w:val="99"/>
    <w:pPr>
      <w:spacing w:lineRule="auto" w:line="240" w:after="0"/>
    </w:pPr>
    <w:tblPr>
      <w:tblStyleRowBandSize w:val="1"/>
      <w:tblStyleColBandSize w:val="1"/>
      <w:tblInd w:w="0" w:type="dxa"/>
      <w:tbl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insideV w:val="single" w:color="CBC0D9" w:sz="4" w:space="0" w:themeColor="accent4" w:themeTint="67"/>
        <w:insideH w:val="single" w:color="CBC0D9" w:sz="4" w:space="0" w:themeColor="accent4" w:themeTint="67"/>
      </w:tblBorders>
      <w:tblCellMar>
        <w:left w:w="108" w:type="dxa"/>
        <w:top w:w="0" w:type="dxa"/>
        <w:right w:w="108" w:type="dxa"/>
        <w:bottom w:w="0" w:type="dxa"/>
      </w:tblCellMar>
    </w:tblPr>
    <w:tblStylePr w:type="band1Horz">
      <w:rPr>
        <w:rFonts w:ascii="Arial" w:hAnsi="Arial"/>
        <w:color w:val="404040"/>
        <w:sz w:val="22"/>
      </w:rPr>
      <w:tcPr>
        <w:tcBorders>
          <w:left w:val="single" w:color="CBC0D9" w:sz="4" w:space="0" w:themeColor="accent4" w:themeTint="67"/>
          <w:top w:val="single" w:color="CBC0D9" w:sz="4" w:space="0" w:themeColor="accent4" w:themeTint="67"/>
          <w:right w:val="single" w:color="CBC0D9" w:sz="4" w:space="0" w:themeColor="accent4" w:themeTint="67"/>
          <w:bottom w:val="single" w:color="CBC0D9"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sz="12" w:space="0" w:themeColor="accent4" w:themeTint="9A"/>
        </w:tcBorders>
      </w:tcPr>
    </w:tblStylePr>
    <w:tblStylePr w:type="lastCol">
      <w:rPr>
        <w:rFonts w:ascii="Arial" w:hAnsi="Arial"/>
        <w:color w:val="404040"/>
        <w:sz w:val="22"/>
      </w:rPr>
      <w:tcPr>
        <w:tcBorders>
          <w:left w:val="single" w:color="B2A1C6" w:sz="12" w:space="0" w:themeColor="accent4" w:themeTint="9A"/>
        </w:tcBorders>
      </w:tcPr>
    </w:tblStylePr>
    <w:tblStylePr w:type="lastRow">
      <w:rPr>
        <w:rFonts w:ascii="Arial" w:hAnsi="Arial"/>
        <w:color w:val="404040"/>
        <w:sz w:val="22"/>
      </w:rPr>
      <w:tcPr>
        <w:tcBorders>
          <w:top w:val="single" w:color="B2A1C6" w:sz="12" w:space="0" w:themeColor="accent4" w:themeTint="9A"/>
        </w:tcBorders>
      </w:tcPr>
    </w:tblStylePr>
  </w:style>
  <w:style w:type="table" w:styleId="547" w:customStyle="1">
    <w:name w:val="Bordered - Accent 5"/>
    <w:basedOn w:val="395"/>
    <w:uiPriority w:val="99"/>
    <w:pPr>
      <w:spacing w:lineRule="auto" w:line="240" w:after="0"/>
    </w:pPr>
    <w:tblPr>
      <w:tblStyleRowBandSize w:val="1"/>
      <w:tblStyleColBandSize w:val="1"/>
      <w:tblInd w:w="0" w:type="dxa"/>
      <w:tbl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insideV w:val="single" w:color="B6DDE8" w:sz="4" w:space="0" w:themeColor="accent5" w:themeTint="67"/>
        <w:insideH w:val="single" w:color="B6DDE8" w:sz="4" w:space="0" w:themeColor="accent5" w:themeTint="67"/>
      </w:tblBorders>
      <w:tblCellMar>
        <w:left w:w="108" w:type="dxa"/>
        <w:top w:w="0" w:type="dxa"/>
        <w:right w:w="108" w:type="dxa"/>
        <w:bottom w:w="0" w:type="dxa"/>
      </w:tblCellMar>
    </w:tblPr>
    <w:tblStylePr w:type="band1Horz">
      <w:rPr>
        <w:rFonts w:ascii="Arial" w:hAnsi="Arial"/>
        <w:color w:val="404040"/>
        <w:sz w:val="22"/>
      </w:rPr>
      <w:tcPr>
        <w:tcBorders>
          <w:left w:val="single" w:color="B6DDE8" w:sz="4" w:space="0" w:themeColor="accent5" w:themeTint="67"/>
          <w:top w:val="single" w:color="B6DDE8" w:sz="4" w:space="0" w:themeColor="accent5" w:themeTint="67"/>
          <w:right w:val="single" w:color="B6DDE8" w:sz="4" w:space="0" w:themeColor="accent5" w:themeTint="67"/>
          <w:bottom w:val="single" w:color="B6DDE8"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sz="12" w:space="0" w:themeColor="accent5" w:themeTint="9A"/>
        </w:tcBorders>
      </w:tcPr>
    </w:tblStylePr>
    <w:tblStylePr w:type="lastCol">
      <w:rPr>
        <w:rFonts w:ascii="Arial" w:hAnsi="Arial"/>
        <w:color w:val="404040"/>
        <w:sz w:val="22"/>
      </w:rPr>
      <w:tcPr>
        <w:tcBorders>
          <w:left w:val="single" w:color="92CCDC" w:sz="12" w:space="0" w:themeColor="accent5" w:themeTint="9A"/>
        </w:tcBorders>
      </w:tcPr>
    </w:tblStylePr>
    <w:tblStylePr w:type="lastRow">
      <w:rPr>
        <w:rFonts w:ascii="Arial" w:hAnsi="Arial"/>
        <w:color w:val="404040"/>
        <w:sz w:val="22"/>
      </w:rPr>
      <w:tcPr>
        <w:tcBorders>
          <w:top w:val="single" w:color="92CCDC" w:sz="12" w:space="0" w:themeColor="accent5" w:themeTint="9A"/>
        </w:tcBorders>
      </w:tcPr>
    </w:tblStylePr>
  </w:style>
  <w:style w:type="table" w:styleId="548" w:customStyle="1">
    <w:name w:val="Bordered - Accent 6"/>
    <w:basedOn w:val="395"/>
    <w:uiPriority w:val="99"/>
    <w:pPr>
      <w:spacing w:lineRule="auto" w:line="240" w:after="0"/>
    </w:pPr>
    <w:tblPr>
      <w:tblStyleRowBandSize w:val="1"/>
      <w:tblStyleColBandSize w:val="1"/>
      <w:tblInd w:w="0" w:type="dxa"/>
      <w:tbl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insideV w:val="single" w:color="FBD4B4" w:sz="4" w:space="0" w:themeColor="accent6" w:themeTint="67"/>
        <w:insideH w:val="single" w:color="FBD4B4" w:sz="4" w:space="0" w:themeColor="accent6" w:themeTint="67"/>
      </w:tblBorders>
      <w:tblCellMar>
        <w:left w:w="108" w:type="dxa"/>
        <w:top w:w="0" w:type="dxa"/>
        <w:right w:w="108" w:type="dxa"/>
        <w:bottom w:w="0" w:type="dxa"/>
      </w:tblCellMar>
    </w:tblPr>
    <w:tblStylePr w:type="band1Horz">
      <w:rPr>
        <w:rFonts w:ascii="Arial" w:hAnsi="Arial"/>
        <w:color w:val="404040"/>
        <w:sz w:val="22"/>
      </w:rPr>
      <w:tcPr>
        <w:tcBorders>
          <w:left w:val="single" w:color="FBD4B4" w:sz="4" w:space="0" w:themeColor="accent6" w:themeTint="67"/>
          <w:top w:val="single" w:color="FBD4B4" w:sz="4" w:space="0" w:themeColor="accent6" w:themeTint="67"/>
          <w:right w:val="single" w:color="FBD4B4" w:sz="4" w:space="0" w:themeColor="accent6" w:themeTint="67"/>
          <w:bottom w:val="single" w:color="FBD4B4"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sz="12" w:space="0" w:themeColor="accent6" w:themeTint="98"/>
        </w:tcBorders>
      </w:tcPr>
    </w:tblStylePr>
    <w:tblStylePr w:type="lastCol">
      <w:rPr>
        <w:rFonts w:ascii="Arial" w:hAnsi="Arial"/>
        <w:color w:val="404040"/>
        <w:sz w:val="22"/>
      </w:rPr>
      <w:tcPr>
        <w:tcBorders>
          <w:left w:val="single" w:color="FAC090" w:sz="12" w:space="0" w:themeColor="accent6" w:themeTint="98"/>
        </w:tcBorders>
      </w:tcPr>
    </w:tblStylePr>
    <w:tblStylePr w:type="lastRow">
      <w:rPr>
        <w:rFonts w:ascii="Arial" w:hAnsi="Arial"/>
        <w:color w:val="404040"/>
        <w:sz w:val="22"/>
      </w:rPr>
      <w:tcPr>
        <w:tcBorders>
          <w:top w:val="single" w:color="FAC090" w:sz="12" w:space="0" w:themeColor="accent6" w:themeTint="98"/>
        </w:tcBorders>
      </w:tcPr>
    </w:tblStylePr>
  </w:style>
  <w:style w:type="paragraph" w:styleId="549">
    <w:name w:val="footnote text"/>
    <w:basedOn w:val="393"/>
    <w:link w:val="550"/>
    <w:uiPriority w:val="99"/>
    <w:semiHidden/>
    <w:unhideWhenUsed/>
    <w:rPr>
      <w:sz w:val="18"/>
    </w:rPr>
    <w:pPr>
      <w:spacing w:lineRule="auto" w:line="240" w:after="40"/>
    </w:pPr>
  </w:style>
  <w:style w:type="character" w:styleId="550" w:customStyle="1">
    <w:name w:val="Текст сноски Знак"/>
    <w:link w:val="549"/>
    <w:uiPriority w:val="99"/>
    <w:rPr>
      <w:sz w:val="18"/>
    </w:rPr>
  </w:style>
  <w:style w:type="character" w:styleId="551">
    <w:name w:val="footnote reference"/>
    <w:basedOn w:val="394"/>
    <w:uiPriority w:val="99"/>
    <w:unhideWhenUsed/>
    <w:rPr>
      <w:vertAlign w:val="superscript"/>
    </w:rPr>
  </w:style>
  <w:style w:type="paragraph" w:styleId="552">
    <w:name w:val="toc 1"/>
    <w:basedOn w:val="393"/>
    <w:next w:val="393"/>
    <w:uiPriority w:val="39"/>
    <w:unhideWhenUsed/>
    <w:pPr>
      <w:spacing w:after="57"/>
    </w:pPr>
  </w:style>
  <w:style w:type="paragraph" w:styleId="553">
    <w:name w:val="toc 2"/>
    <w:basedOn w:val="393"/>
    <w:next w:val="393"/>
    <w:uiPriority w:val="39"/>
    <w:unhideWhenUsed/>
    <w:pPr>
      <w:ind w:left="283"/>
      <w:spacing w:after="57"/>
    </w:pPr>
  </w:style>
  <w:style w:type="paragraph" w:styleId="554">
    <w:name w:val="toc 3"/>
    <w:basedOn w:val="393"/>
    <w:next w:val="393"/>
    <w:uiPriority w:val="39"/>
    <w:unhideWhenUsed/>
    <w:pPr>
      <w:ind w:left="567"/>
      <w:spacing w:after="57"/>
    </w:pPr>
  </w:style>
  <w:style w:type="paragraph" w:styleId="555">
    <w:name w:val="toc 4"/>
    <w:basedOn w:val="393"/>
    <w:next w:val="393"/>
    <w:uiPriority w:val="39"/>
    <w:unhideWhenUsed/>
    <w:pPr>
      <w:ind w:left="850"/>
      <w:spacing w:after="57"/>
    </w:pPr>
  </w:style>
  <w:style w:type="paragraph" w:styleId="556">
    <w:name w:val="toc 5"/>
    <w:basedOn w:val="393"/>
    <w:next w:val="393"/>
    <w:uiPriority w:val="39"/>
    <w:unhideWhenUsed/>
    <w:pPr>
      <w:ind w:left="1134"/>
      <w:spacing w:after="57"/>
    </w:pPr>
  </w:style>
  <w:style w:type="paragraph" w:styleId="557">
    <w:name w:val="toc 6"/>
    <w:basedOn w:val="393"/>
    <w:next w:val="393"/>
    <w:uiPriority w:val="39"/>
    <w:unhideWhenUsed/>
    <w:pPr>
      <w:ind w:left="1417"/>
      <w:spacing w:after="57"/>
    </w:pPr>
  </w:style>
  <w:style w:type="paragraph" w:styleId="558">
    <w:name w:val="toc 7"/>
    <w:basedOn w:val="393"/>
    <w:next w:val="393"/>
    <w:uiPriority w:val="39"/>
    <w:unhideWhenUsed/>
    <w:pPr>
      <w:ind w:left="1701"/>
      <w:spacing w:after="57"/>
    </w:pPr>
  </w:style>
  <w:style w:type="paragraph" w:styleId="559">
    <w:name w:val="toc 8"/>
    <w:basedOn w:val="393"/>
    <w:next w:val="393"/>
    <w:uiPriority w:val="39"/>
    <w:unhideWhenUsed/>
    <w:pPr>
      <w:ind w:left="1984"/>
      <w:spacing w:after="57"/>
    </w:pPr>
  </w:style>
  <w:style w:type="paragraph" w:styleId="560">
    <w:name w:val="toc 9"/>
    <w:basedOn w:val="393"/>
    <w:next w:val="393"/>
    <w:uiPriority w:val="39"/>
    <w:unhideWhenUsed/>
    <w:pPr>
      <w:ind w:left="2268"/>
      <w:spacing w:after="57"/>
    </w:pPr>
  </w:style>
  <w:style w:type="paragraph" w:styleId="561">
    <w:name w:val="TOC Heading"/>
    <w:uiPriority w:val="39"/>
    <w:unhideWhenUsed/>
  </w:style>
  <w:style w:type="paragraph" w:styleId="562" w:customStyle="1">
    <w:name w:val="Heading 1"/>
    <w:basedOn w:val="393"/>
    <w:link w:val="576"/>
    <w:qFormat/>
    <w:uiPriority w:val="9"/>
    <w:rPr>
      <w:rFonts w:ascii="Times New Roman" w:hAnsi="Times New Roman" w:cs="Times New Roman" w:eastAsia="Times New Roman"/>
      <w:b/>
      <w:bCs/>
      <w:sz w:val="48"/>
      <w:szCs w:val="48"/>
      <w:lang w:eastAsia="ru-RU"/>
    </w:rPr>
    <w:pPr>
      <w:spacing w:lineRule="auto" w:line="240" w:after="100" w:afterAutospacing="1" w:before="100" w:beforeAutospacing="1"/>
      <w:outlineLvl w:val="0"/>
    </w:pPr>
  </w:style>
  <w:style w:type="paragraph" w:styleId="563" w:customStyle="1">
    <w:name w:val="Heading 3"/>
    <w:basedOn w:val="393"/>
    <w:next w:val="393"/>
    <w:link w:val="578"/>
    <w:qFormat/>
    <w:uiPriority w:val="9"/>
    <w:semiHidden/>
    <w:unhideWhenUsed/>
    <w:rPr>
      <w:rFonts w:ascii="Cambria" w:hAnsi="Cambria" w:cs="Cambria" w:eastAsia="Cambria"/>
      <w:b/>
      <w:bCs/>
      <w:color w:val="4F81BD" w:themeColor="accent1"/>
    </w:rPr>
    <w:pPr>
      <w:keepLines/>
      <w:keepNext/>
      <w:spacing w:after="0" w:before="200"/>
      <w:outlineLvl w:val="2"/>
    </w:pPr>
  </w:style>
  <w:style w:type="paragraph" w:styleId="564" w:customStyle="1">
    <w:name w:val="Heading 4"/>
    <w:basedOn w:val="393"/>
    <w:next w:val="393"/>
    <w:link w:val="577"/>
    <w:qFormat/>
    <w:uiPriority w:val="9"/>
    <w:semiHidden/>
    <w:unhideWhenUsed/>
    <w:rPr>
      <w:rFonts w:ascii="Cambria" w:hAnsi="Cambria" w:cs="Cambria" w:eastAsia="Cambria"/>
      <w:b/>
      <w:bCs/>
      <w:i/>
      <w:iCs/>
      <w:color w:val="4F81BD" w:themeColor="accent1"/>
    </w:rPr>
    <w:pPr>
      <w:keepLines/>
      <w:keepNext/>
      <w:spacing w:after="0" w:before="200"/>
      <w:outlineLvl w:val="3"/>
    </w:pPr>
  </w:style>
  <w:style w:type="paragraph" w:styleId="565" w:customStyle="1">
    <w:name w:val="Header"/>
    <w:basedOn w:val="393"/>
    <w:link w:val="566"/>
    <w:uiPriority w:val="99"/>
    <w:unhideWhenUsed/>
    <w:pPr>
      <w:spacing w:lineRule="auto" w:line="240" w:after="0"/>
      <w:tabs>
        <w:tab w:val="center" w:pos="4677" w:leader="none"/>
        <w:tab w:val="right" w:pos="9355" w:leader="none"/>
      </w:tabs>
    </w:pPr>
  </w:style>
  <w:style w:type="character" w:styleId="566" w:customStyle="1">
    <w:name w:val="Верхний колонтитул Знак"/>
    <w:basedOn w:val="394"/>
    <w:link w:val="565"/>
    <w:uiPriority w:val="99"/>
  </w:style>
  <w:style w:type="paragraph" w:styleId="567" w:customStyle="1">
    <w:name w:val="Footer"/>
    <w:basedOn w:val="393"/>
    <w:link w:val="568"/>
    <w:uiPriority w:val="99"/>
    <w:unhideWhenUsed/>
    <w:pPr>
      <w:spacing w:lineRule="auto" w:line="240" w:after="0"/>
      <w:tabs>
        <w:tab w:val="center" w:pos="4677" w:leader="none"/>
        <w:tab w:val="right" w:pos="9355" w:leader="none"/>
      </w:tabs>
    </w:pPr>
  </w:style>
  <w:style w:type="character" w:styleId="568" w:customStyle="1">
    <w:name w:val="Нижний колонтитул Знак"/>
    <w:basedOn w:val="394"/>
    <w:link w:val="567"/>
    <w:uiPriority w:val="99"/>
  </w:style>
  <w:style w:type="paragraph" w:styleId="569">
    <w:name w:val="Balloon Text"/>
    <w:basedOn w:val="393"/>
    <w:link w:val="570"/>
    <w:uiPriority w:val="99"/>
    <w:semiHidden/>
    <w:unhideWhenUsed/>
    <w:rPr>
      <w:rFonts w:ascii="Tahoma" w:hAnsi="Tahoma" w:cs="Tahoma"/>
      <w:sz w:val="16"/>
      <w:szCs w:val="16"/>
    </w:rPr>
    <w:pPr>
      <w:spacing w:lineRule="auto" w:line="240" w:after="0"/>
    </w:pPr>
  </w:style>
  <w:style w:type="character" w:styleId="570" w:customStyle="1">
    <w:name w:val="Текст выноски Знак"/>
    <w:basedOn w:val="394"/>
    <w:link w:val="569"/>
    <w:uiPriority w:val="99"/>
    <w:semiHidden/>
    <w:rPr>
      <w:rFonts w:ascii="Tahoma" w:hAnsi="Tahoma" w:cs="Tahoma"/>
      <w:sz w:val="16"/>
      <w:szCs w:val="16"/>
    </w:rPr>
  </w:style>
  <w:style w:type="table" w:styleId="571">
    <w:name w:val="Table Grid"/>
    <w:basedOn w:val="395"/>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character" w:styleId="572">
    <w:name w:val="Hyperlink"/>
    <w:basedOn w:val="394"/>
    <w:uiPriority w:val="99"/>
    <w:unhideWhenUsed/>
    <w:rPr>
      <w:color w:val="0000FF" w:themeColor="hyperlink"/>
      <w:u w:val="single"/>
    </w:rPr>
  </w:style>
  <w:style w:type="character" w:styleId="573">
    <w:name w:val="FollowedHyperlink"/>
    <w:basedOn w:val="394"/>
    <w:uiPriority w:val="99"/>
    <w:semiHidden/>
    <w:unhideWhenUsed/>
    <w:rPr>
      <w:color w:val="800080" w:themeColor="followedHyperlink"/>
      <w:u w:val="single"/>
    </w:rPr>
  </w:style>
  <w:style w:type="character" w:styleId="574">
    <w:name w:val="Strong"/>
    <w:basedOn w:val="394"/>
    <w:qFormat/>
    <w:uiPriority w:val="22"/>
    <w:rPr>
      <w:b/>
      <w:bCs/>
    </w:rPr>
  </w:style>
  <w:style w:type="paragraph" w:styleId="575">
    <w:name w:val="Normal (Web)"/>
    <w:basedOn w:val="393"/>
    <w:uiPriority w:val="99"/>
    <w:unhideWhenUsed/>
    <w:rPr>
      <w:rFonts w:ascii="Times New Roman" w:hAnsi="Times New Roman" w:cs="Times New Roman" w:eastAsia="Times New Roman"/>
      <w:sz w:val="24"/>
      <w:szCs w:val="24"/>
      <w:lang w:eastAsia="ru-RU"/>
    </w:rPr>
    <w:pPr>
      <w:spacing w:lineRule="auto" w:line="240" w:after="100" w:afterAutospacing="1" w:before="100" w:beforeAutospacing="1"/>
    </w:pPr>
  </w:style>
  <w:style w:type="character" w:styleId="576" w:customStyle="1">
    <w:name w:val="Заголовок 1 Знак"/>
    <w:basedOn w:val="394"/>
    <w:link w:val="562"/>
    <w:uiPriority w:val="9"/>
    <w:rPr>
      <w:rFonts w:ascii="Times New Roman" w:hAnsi="Times New Roman" w:cs="Times New Roman" w:eastAsia="Times New Roman"/>
      <w:b/>
      <w:bCs/>
      <w:sz w:val="48"/>
      <w:szCs w:val="48"/>
      <w:lang w:eastAsia="ru-RU"/>
    </w:rPr>
  </w:style>
  <w:style w:type="character" w:styleId="577" w:customStyle="1">
    <w:name w:val="Заголовок 4 Знак"/>
    <w:basedOn w:val="394"/>
    <w:link w:val="564"/>
    <w:uiPriority w:val="9"/>
    <w:semiHidden/>
    <w:rPr>
      <w:rFonts w:ascii="Cambria" w:hAnsi="Cambria" w:cs="Cambria" w:eastAsia="Cambria"/>
      <w:b/>
      <w:bCs/>
      <w:i/>
      <w:iCs/>
      <w:color w:val="4F81BD" w:themeColor="accent1"/>
    </w:rPr>
  </w:style>
  <w:style w:type="character" w:styleId="578" w:customStyle="1">
    <w:name w:val="Заголовок 3 Знак"/>
    <w:basedOn w:val="394"/>
    <w:link w:val="563"/>
    <w:uiPriority w:val="9"/>
    <w:semiHidden/>
    <w:rPr>
      <w:rFonts w:ascii="Cambria" w:hAnsi="Cambria" w:cs="Cambria" w:eastAsia="Cambria"/>
      <w:b/>
      <w:bCs/>
      <w:color w:val="4F81BD" w:themeColor="accent1"/>
    </w:rPr>
  </w:style>
  <w:style w:type="table" w:styleId="579" w:customStyle="1">
    <w:name w:val="Сетка таблицы1"/>
    <w:basedOn w:val="395"/>
    <w:next w:val="571"/>
    <w:uiPriority w:val="39"/>
    <w:rPr>
      <w:rFonts w:ascii="Times New Roman" w:hAnsi="Times New Roman"/>
      <w:sz w:val="28"/>
    </w:rPr>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image" Target="media/image1.jpg"/><Relationship Id="rId10" Type="http://schemas.openxmlformats.org/officeDocument/2006/relationships/hyperlink" Target="http://www.altairegion22.ru)" TargetMode="External"/><Relationship Id="rId11" Type="http://schemas.openxmlformats.org/officeDocument/2006/relationships/image" Target="media/image2.pn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emf"/><Relationship Id="rId21" Type="http://schemas.openxmlformats.org/officeDocument/2006/relationships/image" Target="media/image12.jpg"/><Relationship Id="rId22" Type="http://schemas.openxmlformats.org/officeDocument/2006/relationships/image" Target="media/image13.jp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hyperlink" Target="https://culture.alregn.ru/" TargetMode="External"/><Relationship Id="rId26" Type="http://schemas.openxmlformats.org/officeDocument/2006/relationships/image" Target="media/image16.png"/><Relationship Id="rId27" Type="http://schemas.openxmlformats.org/officeDocument/2006/relationships/hyperlink" Target="http://www.educaltai.ru" TargetMode="External"/><Relationship Id="rId28" Type="http://schemas.openxmlformats.org/officeDocument/2006/relationships/hyperlink" Target="https://www.rusprofile.ru/person/ivannikov-si-504228786840" TargetMode="External"/><Relationship Id="rId29" Type="http://schemas.openxmlformats.org/officeDocument/2006/relationships/image" Target="media/image17.emf"/><Relationship Id="rId30" Type="http://schemas.openxmlformats.org/officeDocument/2006/relationships/image" Target="media/image18.emf"/><Relationship Id="rId31" Type="http://schemas.openxmlformats.org/officeDocument/2006/relationships/image" Target="media/image19.emf"/><Relationship Id="rId32" Type="http://schemas.openxmlformats.org/officeDocument/2006/relationships/hyperlink" Target="http://www.sova-center.ru/misuse/news/persecution/2016/09/d35409/" TargetMode="External"/></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Р7-Офис/1.4.1.37</Application>
  <Company>Grizli777</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DimkoV</dc:creator>
  <cp:keywords/>
  <dc:description/>
  <cp:revision>169</cp:revision>
  <dcterms:created xsi:type="dcterms:W3CDTF">2020-12-22T08:46:00Z</dcterms:created>
  <dcterms:modified xsi:type="dcterms:W3CDTF">2023-12-15T04:46:19Z</dcterms:modified>
</cp:coreProperties>
</file>